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4320" w:rsidRDefault="00597F6F" w:rsidP="00054320">
      <w:pPr>
        <w:jc w:val="center"/>
      </w:pPr>
      <w:r>
        <w:rPr>
          <w:noProof/>
          <w:sz w:val="40"/>
          <w:szCs w:val="40"/>
          <w:lang w:eastAsia="es-NI"/>
        </w:rPr>
        <w:drawing>
          <wp:anchor distT="0" distB="0" distL="114300" distR="114300" simplePos="0" relativeHeight="251719680" behindDoc="1" locked="0" layoutInCell="1" allowOverlap="1" wp14:anchorId="57AEB0D2" wp14:editId="226ABE06">
            <wp:simplePos x="0" y="0"/>
            <wp:positionH relativeFrom="page">
              <wp:align>right</wp:align>
            </wp:positionH>
            <wp:positionV relativeFrom="paragraph">
              <wp:posOffset>-891816</wp:posOffset>
            </wp:positionV>
            <wp:extent cx="7768590" cy="10053468"/>
            <wp:effectExtent l="0" t="0" r="381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8590" cy="10053468"/>
                    </a:xfrm>
                    <a:prstGeom prst="rect">
                      <a:avLst/>
                    </a:prstGeom>
                  </pic:spPr>
                </pic:pic>
              </a:graphicData>
            </a:graphic>
            <wp14:sizeRelH relativeFrom="page">
              <wp14:pctWidth>0</wp14:pctWidth>
            </wp14:sizeRelH>
            <wp14:sizeRelV relativeFrom="page">
              <wp14:pctHeight>0</wp14:pctHeight>
            </wp14:sizeRelV>
          </wp:anchor>
        </w:drawing>
      </w:r>
    </w:p>
    <w:p w:rsidR="00054320" w:rsidRDefault="00054320" w:rsidP="00054320">
      <w:pPr>
        <w:jc w:val="center"/>
      </w:pPr>
    </w:p>
    <w:p w:rsidR="00054320" w:rsidRDefault="00054320" w:rsidP="00054320">
      <w:pPr>
        <w:jc w:val="center"/>
      </w:pPr>
    </w:p>
    <w:p w:rsidR="00054320" w:rsidRDefault="00054320" w:rsidP="00054320">
      <w:pPr>
        <w:jc w:val="center"/>
      </w:pPr>
    </w:p>
    <w:p w:rsidR="00054320" w:rsidRDefault="00054320" w:rsidP="00054320">
      <w:pPr>
        <w:jc w:val="center"/>
      </w:pPr>
    </w:p>
    <w:p w:rsidR="007E5CFA" w:rsidRDefault="007E5CFA" w:rsidP="00054320">
      <w:pPr>
        <w:jc w:val="center"/>
      </w:pPr>
    </w:p>
    <w:p w:rsidR="00054320" w:rsidRDefault="00054320" w:rsidP="00054320">
      <w:pPr>
        <w:jc w:val="center"/>
      </w:pPr>
    </w:p>
    <w:p w:rsidR="00054320" w:rsidRDefault="00054320" w:rsidP="00054320">
      <w:pPr>
        <w:jc w:val="center"/>
      </w:pPr>
    </w:p>
    <w:p w:rsidR="00054320" w:rsidRDefault="00597F6F">
      <w:r w:rsidRPr="00593B8C">
        <w:rPr>
          <w:noProof/>
          <w:sz w:val="16"/>
          <w:lang w:eastAsia="es-NI"/>
        </w:rPr>
        <mc:AlternateContent>
          <mc:Choice Requires="wps">
            <w:drawing>
              <wp:anchor distT="45720" distB="45720" distL="114300" distR="114300" simplePos="0" relativeHeight="251723776" behindDoc="0" locked="0" layoutInCell="1" allowOverlap="1" wp14:anchorId="3FC5B12D" wp14:editId="779AA197">
                <wp:simplePos x="0" y="0"/>
                <wp:positionH relativeFrom="margin">
                  <wp:posOffset>-181665</wp:posOffset>
                </wp:positionH>
                <wp:positionV relativeFrom="paragraph">
                  <wp:posOffset>4978041</wp:posOffset>
                </wp:positionV>
                <wp:extent cx="1951355" cy="426085"/>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426085"/>
                        </a:xfrm>
                        <a:prstGeom prst="rect">
                          <a:avLst/>
                        </a:prstGeom>
                        <a:noFill/>
                        <a:ln w="9525">
                          <a:noFill/>
                          <a:miter lim="800000"/>
                          <a:headEnd/>
                          <a:tailEnd/>
                        </a:ln>
                      </wps:spPr>
                      <wps:txbx>
                        <w:txbxContent>
                          <w:p w:rsidR="00597F6F" w:rsidRPr="00CE7A8E" w:rsidRDefault="00597F6F" w:rsidP="00597F6F">
                            <w:pPr>
                              <w:rPr>
                                <w:rFonts w:ascii="Garamond" w:hAnsi="Garamond"/>
                                <w:b/>
                                <w:color w:val="0070C0"/>
                                <w:sz w:val="40"/>
                                <w:szCs w:val="60"/>
                              </w:rPr>
                            </w:pPr>
                            <w:r>
                              <w:rPr>
                                <w:rFonts w:ascii="Garamond" w:hAnsi="Garamond"/>
                                <w:b/>
                                <w:color w:val="0070C0"/>
                                <w:sz w:val="40"/>
                                <w:szCs w:val="60"/>
                              </w:rPr>
                              <w:t>Octubre</w:t>
                            </w:r>
                            <w:r w:rsidRPr="00CE7A8E">
                              <w:rPr>
                                <w:rFonts w:ascii="Garamond" w:hAnsi="Garamond"/>
                                <w:b/>
                                <w:color w:val="0070C0"/>
                                <w:sz w:val="40"/>
                                <w:szCs w:val="60"/>
                              </w:rPr>
                              <w:t xml:space="preserve"> 202</w:t>
                            </w:r>
                            <w:r>
                              <w:rPr>
                                <w:rFonts w:ascii="Garamond" w:hAnsi="Garamond"/>
                                <w:b/>
                                <w:color w:val="0070C0"/>
                                <w:sz w:val="40"/>
                                <w:szCs w:val="6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5B12D" id="_x0000_t202" coordsize="21600,21600" o:spt="202" path="m,l,21600r21600,l21600,xe">
                <v:stroke joinstyle="miter"/>
                <v:path gradientshapeok="t" o:connecttype="rect"/>
              </v:shapetype>
              <v:shape id="Cuadro de texto 2" o:spid="_x0000_s1026" type="#_x0000_t202" style="position:absolute;margin-left:-14.3pt;margin-top:391.95pt;width:153.65pt;height:33.5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" filled="f" stroked="f">
                <v:textbox>
                  <w:txbxContent>
                    <w:p w:rsidR="00597F6F" w:rsidRPr="00CE7A8E" w:rsidRDefault="00597F6F" w:rsidP="00597F6F">
                      <w:pPr>
                        <w:rPr>
                          <w:rFonts w:ascii="Garamond" w:hAnsi="Garamond"/>
                          <w:b/>
                          <w:color w:val="0070C0"/>
                          <w:sz w:val="40"/>
                          <w:szCs w:val="60"/>
                        </w:rPr>
                      </w:pPr>
                      <w:r>
                        <w:rPr>
                          <w:rFonts w:ascii="Garamond" w:hAnsi="Garamond"/>
                          <w:b/>
                          <w:color w:val="0070C0"/>
                          <w:sz w:val="40"/>
                          <w:szCs w:val="60"/>
                        </w:rPr>
                        <w:t>Octubre</w:t>
                      </w:r>
                      <w:r w:rsidRPr="00CE7A8E">
                        <w:rPr>
                          <w:rFonts w:ascii="Garamond" w:hAnsi="Garamond"/>
                          <w:b/>
                          <w:color w:val="0070C0"/>
                          <w:sz w:val="40"/>
                          <w:szCs w:val="60"/>
                        </w:rPr>
                        <w:t xml:space="preserve"> 202</w:t>
                      </w:r>
                      <w:r>
                        <w:rPr>
                          <w:rFonts w:ascii="Garamond" w:hAnsi="Garamond"/>
                          <w:b/>
                          <w:color w:val="0070C0"/>
                          <w:sz w:val="40"/>
                          <w:szCs w:val="60"/>
                        </w:rPr>
                        <w:t>4</w:t>
                      </w:r>
                    </w:p>
                  </w:txbxContent>
                </v:textbox>
                <w10:wrap type="square" anchorx="margin"/>
              </v:shape>
            </w:pict>
          </mc:Fallback>
        </mc:AlternateContent>
      </w:r>
      <w:r w:rsidRPr="00593B8C">
        <w:rPr>
          <w:noProof/>
          <w:sz w:val="16"/>
          <w:lang w:eastAsia="es-NI"/>
        </w:rPr>
        <mc:AlternateContent>
          <mc:Choice Requires="wps">
            <w:drawing>
              <wp:anchor distT="45720" distB="45720" distL="114300" distR="114300" simplePos="0" relativeHeight="251721728" behindDoc="0" locked="0" layoutInCell="1" allowOverlap="1" wp14:anchorId="5630F4D3" wp14:editId="560711AB">
                <wp:simplePos x="0" y="0"/>
                <wp:positionH relativeFrom="margin">
                  <wp:align>left</wp:align>
                </wp:positionH>
                <wp:positionV relativeFrom="paragraph">
                  <wp:posOffset>258556</wp:posOffset>
                </wp:positionV>
                <wp:extent cx="5172075" cy="118110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181100"/>
                        </a:xfrm>
                        <a:prstGeom prst="rect">
                          <a:avLst/>
                        </a:prstGeom>
                        <a:noFill/>
                        <a:ln w="9525">
                          <a:noFill/>
                          <a:miter lim="800000"/>
                          <a:headEnd/>
                          <a:tailEnd/>
                        </a:ln>
                      </wps:spPr>
                      <wps:txbx>
                        <w:txbxContent>
                          <w:p w:rsidR="00597F6F" w:rsidRDefault="00597F6F" w:rsidP="00597F6F">
                            <w:pPr>
                              <w:spacing w:after="0"/>
                              <w:ind w:left="-567" w:right="-376"/>
                              <w:jc w:val="center"/>
                              <w:rPr>
                                <w:rFonts w:ascii="Garamond" w:hAnsi="Garamond"/>
                                <w:b/>
                                <w:color w:val="0070C0"/>
                                <w:sz w:val="40"/>
                                <w:szCs w:val="60"/>
                              </w:rPr>
                            </w:pPr>
                            <w:r w:rsidRPr="00D7172F">
                              <w:rPr>
                                <w:rFonts w:ascii="Garamond" w:hAnsi="Garamond"/>
                                <w:b/>
                                <w:color w:val="0070C0"/>
                                <w:sz w:val="40"/>
                                <w:szCs w:val="60"/>
                              </w:rPr>
                              <w:t>Evolución</w:t>
                            </w:r>
                            <w:r>
                              <w:rPr>
                                <w:rFonts w:ascii="Garamond" w:hAnsi="Garamond"/>
                                <w:b/>
                                <w:color w:val="0070C0"/>
                                <w:sz w:val="40"/>
                                <w:szCs w:val="60"/>
                              </w:rPr>
                              <w:t xml:space="preserve"> </w:t>
                            </w:r>
                            <w:r w:rsidRPr="00D7172F">
                              <w:rPr>
                                <w:rFonts w:ascii="Garamond" w:hAnsi="Garamond"/>
                                <w:b/>
                                <w:color w:val="0070C0"/>
                                <w:sz w:val="40"/>
                                <w:szCs w:val="60"/>
                              </w:rPr>
                              <w:t xml:space="preserve">de la </w:t>
                            </w:r>
                          </w:p>
                          <w:p w:rsidR="00597F6F" w:rsidRDefault="00597F6F" w:rsidP="00597F6F">
                            <w:pPr>
                              <w:spacing w:after="0"/>
                              <w:ind w:left="-567" w:right="-376"/>
                              <w:jc w:val="center"/>
                              <w:rPr>
                                <w:rFonts w:ascii="Garamond" w:hAnsi="Garamond"/>
                                <w:b/>
                                <w:color w:val="0070C0"/>
                                <w:sz w:val="40"/>
                                <w:szCs w:val="60"/>
                              </w:rPr>
                            </w:pPr>
                            <w:r w:rsidRPr="00D7172F">
                              <w:rPr>
                                <w:rFonts w:ascii="Garamond" w:hAnsi="Garamond"/>
                                <w:b/>
                                <w:color w:val="0070C0"/>
                                <w:sz w:val="40"/>
                                <w:szCs w:val="60"/>
                              </w:rPr>
                              <w:t>Inversión Extranjera Directa en Nicaragua</w:t>
                            </w:r>
                          </w:p>
                          <w:p w:rsidR="00597F6F" w:rsidRPr="00D7172F" w:rsidRDefault="00597F6F" w:rsidP="00597F6F">
                            <w:pPr>
                              <w:spacing w:after="0"/>
                              <w:ind w:left="-567" w:right="-376"/>
                              <w:jc w:val="center"/>
                              <w:rPr>
                                <w:rFonts w:ascii="Garamond" w:hAnsi="Garamond"/>
                                <w:b/>
                                <w:color w:val="0070C0"/>
                                <w:sz w:val="40"/>
                                <w:szCs w:val="60"/>
                              </w:rPr>
                            </w:pPr>
                            <w:r>
                              <w:rPr>
                                <w:rFonts w:ascii="Garamond" w:hAnsi="Garamond"/>
                                <w:b/>
                                <w:color w:val="0070C0"/>
                                <w:sz w:val="40"/>
                                <w:szCs w:val="60"/>
                              </w:rPr>
                              <w:t xml:space="preserve"> primer semestre de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0F4D3" id="_x0000_s1027" type="#_x0000_t202" style="position:absolute;margin-left:0;margin-top:20.35pt;width:407.25pt;height:93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" filled="f" stroked="f">
                <v:textbox>
                  <w:txbxContent>
                    <w:p w:rsidR="00597F6F" w:rsidRDefault="00597F6F" w:rsidP="00597F6F">
                      <w:pPr>
                        <w:spacing w:after="0"/>
                        <w:ind w:left="-567" w:right="-376"/>
                        <w:jc w:val="center"/>
                        <w:rPr>
                          <w:rFonts w:ascii="Garamond" w:hAnsi="Garamond"/>
                          <w:b/>
                          <w:color w:val="0070C0"/>
                          <w:sz w:val="40"/>
                          <w:szCs w:val="60"/>
                        </w:rPr>
                      </w:pPr>
                      <w:r w:rsidRPr="00D7172F">
                        <w:rPr>
                          <w:rFonts w:ascii="Garamond" w:hAnsi="Garamond"/>
                          <w:b/>
                          <w:color w:val="0070C0"/>
                          <w:sz w:val="40"/>
                          <w:szCs w:val="60"/>
                        </w:rPr>
                        <w:t>Evolución</w:t>
                      </w:r>
                      <w:r>
                        <w:rPr>
                          <w:rFonts w:ascii="Garamond" w:hAnsi="Garamond"/>
                          <w:b/>
                          <w:color w:val="0070C0"/>
                          <w:sz w:val="40"/>
                          <w:szCs w:val="60"/>
                        </w:rPr>
                        <w:t xml:space="preserve"> </w:t>
                      </w:r>
                      <w:r w:rsidRPr="00D7172F">
                        <w:rPr>
                          <w:rFonts w:ascii="Garamond" w:hAnsi="Garamond"/>
                          <w:b/>
                          <w:color w:val="0070C0"/>
                          <w:sz w:val="40"/>
                          <w:szCs w:val="60"/>
                        </w:rPr>
                        <w:t xml:space="preserve">de la </w:t>
                      </w:r>
                    </w:p>
                    <w:p w:rsidR="00597F6F" w:rsidRDefault="00597F6F" w:rsidP="00597F6F">
                      <w:pPr>
                        <w:spacing w:after="0"/>
                        <w:ind w:left="-567" w:right="-376"/>
                        <w:jc w:val="center"/>
                        <w:rPr>
                          <w:rFonts w:ascii="Garamond" w:hAnsi="Garamond"/>
                          <w:b/>
                          <w:color w:val="0070C0"/>
                          <w:sz w:val="40"/>
                          <w:szCs w:val="60"/>
                        </w:rPr>
                      </w:pPr>
                      <w:r w:rsidRPr="00D7172F">
                        <w:rPr>
                          <w:rFonts w:ascii="Garamond" w:hAnsi="Garamond"/>
                          <w:b/>
                          <w:color w:val="0070C0"/>
                          <w:sz w:val="40"/>
                          <w:szCs w:val="60"/>
                        </w:rPr>
                        <w:t>Inversión Extranjera Directa en Nicaragua</w:t>
                      </w:r>
                    </w:p>
                    <w:p w:rsidR="00597F6F" w:rsidRPr="00D7172F" w:rsidRDefault="00597F6F" w:rsidP="00597F6F">
                      <w:pPr>
                        <w:spacing w:after="0"/>
                        <w:ind w:left="-567" w:right="-376"/>
                        <w:jc w:val="center"/>
                        <w:rPr>
                          <w:rFonts w:ascii="Garamond" w:hAnsi="Garamond"/>
                          <w:b/>
                          <w:color w:val="0070C0"/>
                          <w:sz w:val="40"/>
                          <w:szCs w:val="60"/>
                        </w:rPr>
                      </w:pPr>
                      <w:r>
                        <w:rPr>
                          <w:rFonts w:ascii="Garamond" w:hAnsi="Garamond"/>
                          <w:b/>
                          <w:color w:val="0070C0"/>
                          <w:sz w:val="40"/>
                          <w:szCs w:val="60"/>
                        </w:rPr>
                        <w:t xml:space="preserve"> primer semestre de 2024</w:t>
                      </w:r>
                    </w:p>
                  </w:txbxContent>
                </v:textbox>
                <w10:wrap type="square" anchorx="margin"/>
              </v:shape>
            </w:pict>
          </mc:Fallback>
        </mc:AlternateContent>
      </w:r>
      <w:r w:rsidR="00054320">
        <w:br w:type="page"/>
      </w:r>
    </w:p>
    <w:p w:rsidR="0044026C" w:rsidRPr="0044026C" w:rsidRDefault="0044026C" w:rsidP="0044026C">
      <w:pPr>
        <w:rPr>
          <w:rFonts w:ascii="Garamond" w:eastAsia="Times New Roman" w:hAnsi="Garamond" w:cs="Times New Roman"/>
          <w:color w:val="0070C0"/>
          <w:sz w:val="6"/>
          <w:lang w:val="es-MX"/>
        </w:rPr>
      </w:pPr>
    </w:p>
    <w:p w:rsidR="00CB112F" w:rsidRDefault="00597F6F" w:rsidP="00597F6F">
      <w:pPr>
        <w:jc w:val="center"/>
        <w:rPr>
          <w:rFonts w:ascii="Garamond" w:eastAsia="Times New Roman" w:hAnsi="Garamond" w:cs="Times New Roman"/>
          <w:color w:val="0070C0"/>
          <w:sz w:val="32"/>
          <w:lang w:val="es-MX"/>
        </w:rPr>
      </w:pPr>
      <w:r w:rsidRPr="0074246C">
        <w:rPr>
          <w:rFonts w:ascii="Garamond" w:eastAsia="Times New Roman" w:hAnsi="Garamond" w:cs="Times New Roman"/>
          <w:color w:val="0070C0"/>
          <w:sz w:val="32"/>
          <w:lang w:val="es-MX"/>
        </w:rPr>
        <w:t xml:space="preserve">Evolución de la Inversión Extranjera Directa en Nicaragua   </w:t>
      </w:r>
      <w:r>
        <w:rPr>
          <w:rFonts w:ascii="Garamond" w:eastAsia="Times New Roman" w:hAnsi="Garamond" w:cs="Times New Roman"/>
          <w:color w:val="0070C0"/>
          <w:sz w:val="32"/>
          <w:lang w:val="es-MX"/>
        </w:rPr>
        <w:t xml:space="preserve">     </w:t>
      </w:r>
      <w:r w:rsidRPr="0074246C">
        <w:rPr>
          <w:rFonts w:ascii="Garamond" w:eastAsia="Times New Roman" w:hAnsi="Garamond" w:cs="Times New Roman"/>
          <w:color w:val="0070C0"/>
          <w:sz w:val="32"/>
          <w:lang w:val="es-MX"/>
        </w:rPr>
        <w:t xml:space="preserve">            </w:t>
      </w:r>
      <w:r>
        <w:rPr>
          <w:rFonts w:ascii="Garamond" w:eastAsia="Times New Roman" w:hAnsi="Garamond" w:cs="Times New Roman"/>
          <w:color w:val="0070C0"/>
          <w:sz w:val="32"/>
          <w:lang w:val="es-MX"/>
        </w:rPr>
        <w:t>al primer semestre</w:t>
      </w:r>
      <w:r w:rsidRPr="0074246C">
        <w:rPr>
          <w:rFonts w:ascii="Garamond" w:eastAsia="Times New Roman" w:hAnsi="Garamond" w:cs="Times New Roman"/>
          <w:color w:val="0070C0"/>
          <w:sz w:val="32"/>
          <w:lang w:val="es-MX"/>
        </w:rPr>
        <w:t xml:space="preserve"> 202</w:t>
      </w:r>
      <w:r>
        <w:rPr>
          <w:rFonts w:ascii="Garamond" w:eastAsia="Times New Roman" w:hAnsi="Garamond" w:cs="Times New Roman"/>
          <w:color w:val="0070C0"/>
          <w:sz w:val="32"/>
          <w:lang w:val="es-MX"/>
        </w:rPr>
        <w:t>4</w:t>
      </w:r>
      <w:r>
        <w:rPr>
          <w:rStyle w:val="Refdenotaalpie"/>
          <w:rFonts w:ascii="Garamond" w:eastAsia="Times New Roman" w:hAnsi="Garamond" w:cs="Times New Roman"/>
          <w:color w:val="0070C0"/>
          <w:sz w:val="32"/>
          <w:lang w:val="es-MX"/>
        </w:rPr>
        <w:footnoteReference w:id="1"/>
      </w:r>
    </w:p>
    <w:p w:rsidR="0045393B" w:rsidRPr="0045393B" w:rsidRDefault="0045393B" w:rsidP="00597F6F">
      <w:pPr>
        <w:widowControl w:val="0"/>
        <w:tabs>
          <w:tab w:val="left" w:pos="5598"/>
        </w:tabs>
        <w:autoSpaceDE w:val="0"/>
        <w:autoSpaceDN w:val="0"/>
        <w:adjustRightInd w:val="0"/>
        <w:spacing w:before="4"/>
        <w:ind w:left="20" w:right="-70"/>
        <w:jc w:val="both"/>
        <w:rPr>
          <w:rFonts w:ascii="Garamond" w:hAnsi="Garamond"/>
          <w:color w:val="0070C0"/>
          <w:sz w:val="2"/>
        </w:rPr>
      </w:pPr>
    </w:p>
    <w:p w:rsidR="00597F6F" w:rsidRPr="00221B02" w:rsidRDefault="00597F6F" w:rsidP="00597F6F">
      <w:pPr>
        <w:widowControl w:val="0"/>
        <w:tabs>
          <w:tab w:val="left" w:pos="5598"/>
        </w:tabs>
        <w:autoSpaceDE w:val="0"/>
        <w:autoSpaceDN w:val="0"/>
        <w:adjustRightInd w:val="0"/>
        <w:spacing w:before="4"/>
        <w:ind w:left="20" w:right="-70"/>
        <w:jc w:val="both"/>
        <w:rPr>
          <w:rFonts w:ascii="Garamond" w:hAnsi="Garamond"/>
          <w:sz w:val="28"/>
        </w:rPr>
      </w:pPr>
      <w:r w:rsidRPr="00221B02">
        <w:rPr>
          <w:rFonts w:ascii="Garamond" w:hAnsi="Garamond"/>
          <w:color w:val="0070C0"/>
          <w:sz w:val="32"/>
        </w:rPr>
        <w:t>Inversión Extranjera Directa (IED)</w:t>
      </w:r>
    </w:p>
    <w:p w:rsidR="00597F6F" w:rsidRPr="00221B02" w:rsidRDefault="00597F6F" w:rsidP="00597F6F">
      <w:pPr>
        <w:pStyle w:val="NormalWeb"/>
        <w:shd w:val="clear" w:color="auto" w:fill="FFFFFF"/>
        <w:spacing w:before="0" w:beforeAutospacing="0" w:after="200" w:afterAutospacing="0" w:line="276" w:lineRule="auto"/>
        <w:jc w:val="both"/>
        <w:rPr>
          <w:rFonts w:ascii="Garamond" w:eastAsiaTheme="minorHAnsi" w:hAnsi="Garamond" w:cstheme="minorBidi"/>
          <w:szCs w:val="26"/>
          <w:lang w:eastAsia="en-US"/>
        </w:rPr>
      </w:pPr>
      <w:r w:rsidRPr="00221B02">
        <w:rPr>
          <w:rFonts w:ascii="Garamond" w:eastAsiaTheme="minorHAnsi" w:hAnsi="Garamond" w:cstheme="minorBidi"/>
          <w:szCs w:val="26"/>
        </w:rPr>
        <w:t xml:space="preserve">En el primer semestre de 2024, el ingreso </w:t>
      </w:r>
      <w:r w:rsidRPr="00EC631F">
        <w:rPr>
          <w:rFonts w:ascii="Garamond" w:eastAsiaTheme="minorHAnsi" w:hAnsi="Garamond" w:cstheme="minorBidi"/>
          <w:szCs w:val="26"/>
        </w:rPr>
        <w:t xml:space="preserve">bruto de IED ascendió a 1,588.6 millones de dólares, superior en 11.3 por ciento al registrado en igual período de 2023 (US$1,427.7 millones). </w:t>
      </w:r>
      <w:r w:rsidRPr="00EC631F">
        <w:rPr>
          <w:rFonts w:ascii="Garamond" w:eastAsiaTheme="minorHAnsi" w:hAnsi="Garamond" w:cstheme="minorBidi"/>
          <w:szCs w:val="26"/>
          <w:lang w:eastAsia="en-US"/>
        </w:rPr>
        <w:t>Por su parte, el flujo neto de IED fue de 810.3 millones de dólares</w:t>
      </w:r>
      <w:r w:rsidR="00B63D26" w:rsidRPr="00EC631F">
        <w:rPr>
          <w:rFonts w:ascii="Garamond" w:eastAsiaTheme="minorHAnsi" w:hAnsi="Garamond" w:cstheme="minorBidi"/>
          <w:szCs w:val="26"/>
          <w:lang w:eastAsia="en-US"/>
        </w:rPr>
        <w:t xml:space="preserve"> (US$827.0 millones en igual período de 2023)</w:t>
      </w:r>
      <w:r w:rsidRPr="00EC631F">
        <w:rPr>
          <w:rFonts w:ascii="Garamond" w:eastAsiaTheme="minorHAnsi" w:hAnsi="Garamond" w:cstheme="minorBidi"/>
          <w:szCs w:val="26"/>
          <w:lang w:eastAsia="en-US"/>
        </w:rPr>
        <w:t>.</w:t>
      </w:r>
    </w:p>
    <w:p w:rsidR="00597F6F" w:rsidRPr="00221B02" w:rsidRDefault="00597F6F" w:rsidP="00597F6F">
      <w:pPr>
        <w:widowControl w:val="0"/>
        <w:tabs>
          <w:tab w:val="left" w:pos="5598"/>
        </w:tabs>
        <w:autoSpaceDE w:val="0"/>
        <w:autoSpaceDN w:val="0"/>
        <w:adjustRightInd w:val="0"/>
        <w:spacing w:before="100" w:beforeAutospacing="1"/>
        <w:ind w:left="23" w:right="-68"/>
        <w:jc w:val="both"/>
        <w:rPr>
          <w:rFonts w:ascii="Garamond" w:hAnsi="Garamond"/>
          <w:sz w:val="24"/>
          <w:szCs w:val="26"/>
        </w:rPr>
      </w:pPr>
      <w:r w:rsidRPr="00221B02">
        <w:rPr>
          <w:rFonts w:ascii="Garamond" w:hAnsi="Garamond"/>
          <w:sz w:val="24"/>
          <w:szCs w:val="26"/>
        </w:rPr>
        <w:t xml:space="preserve">El ingreso de IED representó el 16.9 por ciento del PIB (17.1% en primer semestre 2023); mientras que el flujo neto </w:t>
      </w:r>
      <w:r w:rsidR="0065105A">
        <w:rPr>
          <w:rFonts w:ascii="Garamond" w:hAnsi="Garamond"/>
          <w:sz w:val="24"/>
          <w:szCs w:val="26"/>
        </w:rPr>
        <w:t xml:space="preserve">fue de </w:t>
      </w:r>
      <w:r w:rsidRPr="00221B02">
        <w:rPr>
          <w:rFonts w:ascii="Garamond" w:hAnsi="Garamond"/>
          <w:sz w:val="24"/>
          <w:szCs w:val="26"/>
        </w:rPr>
        <w:t>8.6 por ciento del PIB (9.9% en primer semestre 2023).</w:t>
      </w:r>
    </w:p>
    <w:p w:rsidR="00597F6F" w:rsidRDefault="00597F6F" w:rsidP="00597F6F">
      <w:r w:rsidRPr="00F85A5F">
        <w:rPr>
          <w:noProof/>
          <w:sz w:val="12"/>
        </w:rPr>
        <w:drawing>
          <wp:anchor distT="0" distB="0" distL="114300" distR="114300" simplePos="0" relativeHeight="251724800" behindDoc="0" locked="0" layoutInCell="1" allowOverlap="1" wp14:anchorId="1BC5000F" wp14:editId="69D9019F">
            <wp:simplePos x="0" y="0"/>
            <wp:positionH relativeFrom="column">
              <wp:posOffset>2879090</wp:posOffset>
            </wp:positionH>
            <wp:positionV relativeFrom="paragraph">
              <wp:posOffset>6227</wp:posOffset>
            </wp:positionV>
            <wp:extent cx="2830195" cy="2134870"/>
            <wp:effectExtent l="0" t="0" r="825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648"/>
                    <a:stretch/>
                  </pic:blipFill>
                  <pic:spPr bwMode="auto">
                    <a:xfrm>
                      <a:off x="0" y="0"/>
                      <a:ext cx="2830195" cy="213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364A">
        <w:rPr>
          <w:noProof/>
          <w:sz w:val="12"/>
        </w:rPr>
        <w:drawing>
          <wp:inline distT="0" distB="0" distL="0" distR="0" wp14:anchorId="28234B54" wp14:editId="4C967985">
            <wp:extent cx="2730472" cy="218062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768"/>
                    <a:stretch/>
                  </pic:blipFill>
                  <pic:spPr bwMode="auto">
                    <a:xfrm>
                      <a:off x="0" y="0"/>
                      <a:ext cx="2735856" cy="2184928"/>
                    </a:xfrm>
                    <a:prstGeom prst="rect">
                      <a:avLst/>
                    </a:prstGeom>
                    <a:noFill/>
                    <a:ln>
                      <a:noFill/>
                    </a:ln>
                    <a:extLst>
                      <a:ext uri="{53640926-AAD7-44D8-BBD7-CCE9431645EC}">
                        <a14:shadowObscured xmlns:a14="http://schemas.microsoft.com/office/drawing/2010/main"/>
                      </a:ext>
                    </a:extLst>
                  </pic:spPr>
                </pic:pic>
              </a:graphicData>
            </a:graphic>
          </wp:inline>
        </w:drawing>
      </w:r>
    </w:p>
    <w:p w:rsidR="00D272ED" w:rsidRDefault="00D272ED" w:rsidP="00D272ED">
      <w:pPr>
        <w:widowControl w:val="0"/>
        <w:tabs>
          <w:tab w:val="left" w:pos="5598"/>
        </w:tabs>
        <w:autoSpaceDE w:val="0"/>
        <w:autoSpaceDN w:val="0"/>
        <w:adjustRightInd w:val="0"/>
        <w:spacing w:after="0" w:line="240" w:lineRule="auto"/>
        <w:ind w:left="23" w:right="-68"/>
        <w:jc w:val="both"/>
        <w:rPr>
          <w:rFonts w:ascii="Garamond" w:hAnsi="Garamond"/>
          <w:color w:val="0070C0"/>
          <w:sz w:val="32"/>
        </w:rPr>
      </w:pPr>
    </w:p>
    <w:p w:rsidR="00597F6F" w:rsidRPr="00221B02" w:rsidRDefault="00597F6F" w:rsidP="00597F6F">
      <w:pPr>
        <w:widowControl w:val="0"/>
        <w:tabs>
          <w:tab w:val="left" w:pos="5598"/>
        </w:tabs>
        <w:autoSpaceDE w:val="0"/>
        <w:autoSpaceDN w:val="0"/>
        <w:adjustRightInd w:val="0"/>
        <w:spacing w:before="4"/>
        <w:ind w:left="20" w:right="-70"/>
        <w:jc w:val="both"/>
        <w:rPr>
          <w:rFonts w:ascii="Garamond" w:hAnsi="Garamond"/>
          <w:color w:val="0070C0"/>
          <w:sz w:val="32"/>
        </w:rPr>
      </w:pPr>
      <w:r w:rsidRPr="00221B02">
        <w:rPr>
          <w:rFonts w:ascii="Garamond" w:hAnsi="Garamond"/>
          <w:color w:val="0070C0"/>
          <w:sz w:val="32"/>
        </w:rPr>
        <w:t xml:space="preserve">Fuentes de origen de la IED </w:t>
      </w:r>
    </w:p>
    <w:p w:rsidR="0044026C" w:rsidRDefault="00597F6F" w:rsidP="00597F6F">
      <w:pPr>
        <w:jc w:val="both"/>
        <w:rPr>
          <w:rFonts w:ascii="Garamond" w:hAnsi="Garamond"/>
          <w:sz w:val="24"/>
          <w:szCs w:val="26"/>
        </w:rPr>
      </w:pPr>
      <w:bookmarkStart w:id="0" w:name="_Hlk163717141"/>
      <w:r w:rsidRPr="00221B02">
        <w:rPr>
          <w:rFonts w:ascii="Garamond" w:hAnsi="Garamond"/>
          <w:sz w:val="24"/>
          <w:szCs w:val="26"/>
        </w:rPr>
        <w:t xml:space="preserve">En </w:t>
      </w:r>
      <w:r w:rsidR="0065105A">
        <w:rPr>
          <w:rFonts w:ascii="Garamond" w:hAnsi="Garamond"/>
          <w:sz w:val="24"/>
          <w:szCs w:val="26"/>
        </w:rPr>
        <w:t xml:space="preserve">este </w:t>
      </w:r>
      <w:r w:rsidRPr="00221B02">
        <w:rPr>
          <w:rFonts w:ascii="Garamond" w:hAnsi="Garamond"/>
          <w:sz w:val="24"/>
          <w:szCs w:val="26"/>
        </w:rPr>
        <w:t xml:space="preserve">semestre, la </w:t>
      </w:r>
      <w:r>
        <w:rPr>
          <w:rFonts w:ascii="Garamond" w:hAnsi="Garamond"/>
          <w:sz w:val="24"/>
          <w:szCs w:val="26"/>
        </w:rPr>
        <w:t xml:space="preserve">principal </w:t>
      </w:r>
      <w:r w:rsidRPr="00221B02">
        <w:rPr>
          <w:rFonts w:ascii="Garamond" w:hAnsi="Garamond"/>
          <w:sz w:val="24"/>
          <w:szCs w:val="26"/>
        </w:rPr>
        <w:t>fuente de origen de los ingresos brutos de IED fue</w:t>
      </w:r>
      <w:r>
        <w:rPr>
          <w:rFonts w:ascii="Garamond" w:hAnsi="Garamond"/>
          <w:sz w:val="24"/>
          <w:szCs w:val="26"/>
        </w:rPr>
        <w:t>ron</w:t>
      </w:r>
      <w:r w:rsidRPr="00221B02">
        <w:rPr>
          <w:rFonts w:ascii="Garamond" w:hAnsi="Garamond"/>
          <w:sz w:val="24"/>
          <w:szCs w:val="26"/>
        </w:rPr>
        <w:t xml:space="preserve"> </w:t>
      </w:r>
      <w:r>
        <w:rPr>
          <w:rFonts w:ascii="Garamond" w:hAnsi="Garamond"/>
          <w:sz w:val="24"/>
          <w:szCs w:val="26"/>
        </w:rPr>
        <w:t xml:space="preserve">los desembolsos externos recibidos de casa matriz y/o empresas no residentes relacionadas </w:t>
      </w:r>
      <w:r w:rsidR="00A20652">
        <w:rPr>
          <w:rFonts w:ascii="Garamond" w:hAnsi="Garamond"/>
          <w:sz w:val="24"/>
          <w:szCs w:val="26"/>
        </w:rPr>
        <w:t xml:space="preserve">al sumar 807.2 millones de dólares </w:t>
      </w:r>
      <w:r>
        <w:rPr>
          <w:rFonts w:ascii="Garamond" w:hAnsi="Garamond"/>
          <w:sz w:val="24"/>
          <w:szCs w:val="26"/>
        </w:rPr>
        <w:t>(50.8%</w:t>
      </w:r>
      <w:r w:rsidR="00A20652">
        <w:rPr>
          <w:rFonts w:ascii="Garamond" w:hAnsi="Garamond"/>
          <w:sz w:val="24"/>
          <w:szCs w:val="26"/>
        </w:rPr>
        <w:t xml:space="preserve"> del total</w:t>
      </w:r>
      <w:r>
        <w:rPr>
          <w:rFonts w:ascii="Garamond" w:hAnsi="Garamond"/>
          <w:sz w:val="24"/>
          <w:szCs w:val="26"/>
        </w:rPr>
        <w:t>), seguidas por</w:t>
      </w:r>
      <w:r w:rsidRPr="00221B02">
        <w:rPr>
          <w:rFonts w:ascii="Garamond" w:hAnsi="Garamond"/>
          <w:sz w:val="24"/>
          <w:szCs w:val="26"/>
        </w:rPr>
        <w:t xml:space="preserve"> la</w:t>
      </w:r>
      <w:r>
        <w:rPr>
          <w:rFonts w:ascii="Garamond" w:hAnsi="Garamond"/>
          <w:sz w:val="24"/>
          <w:szCs w:val="26"/>
        </w:rPr>
        <w:t>s utilidades generadas en el per</w:t>
      </w:r>
      <w:r w:rsidR="00A20652">
        <w:rPr>
          <w:rFonts w:ascii="Garamond" w:hAnsi="Garamond"/>
          <w:sz w:val="24"/>
          <w:szCs w:val="26"/>
        </w:rPr>
        <w:t>í</w:t>
      </w:r>
      <w:r>
        <w:rPr>
          <w:rFonts w:ascii="Garamond" w:hAnsi="Garamond"/>
          <w:sz w:val="24"/>
          <w:szCs w:val="26"/>
        </w:rPr>
        <w:t xml:space="preserve">odo </w:t>
      </w:r>
      <w:r w:rsidR="00A20652">
        <w:rPr>
          <w:rFonts w:ascii="Garamond" w:hAnsi="Garamond"/>
          <w:sz w:val="24"/>
          <w:szCs w:val="26"/>
        </w:rPr>
        <w:t xml:space="preserve">con </w:t>
      </w:r>
      <w:r>
        <w:rPr>
          <w:rFonts w:ascii="Garamond" w:hAnsi="Garamond"/>
          <w:sz w:val="24"/>
          <w:szCs w:val="26"/>
        </w:rPr>
        <w:t>543.4 millones</w:t>
      </w:r>
      <w:r w:rsidR="00A20652">
        <w:rPr>
          <w:rFonts w:ascii="Garamond" w:hAnsi="Garamond"/>
          <w:sz w:val="24"/>
          <w:szCs w:val="26"/>
        </w:rPr>
        <w:t xml:space="preserve"> de dólares (</w:t>
      </w:r>
      <w:r>
        <w:rPr>
          <w:rFonts w:ascii="Garamond" w:hAnsi="Garamond"/>
          <w:sz w:val="24"/>
          <w:szCs w:val="26"/>
        </w:rPr>
        <w:t>34.2</w:t>
      </w:r>
      <w:r w:rsidR="00A20652">
        <w:rPr>
          <w:rFonts w:ascii="Garamond" w:hAnsi="Garamond"/>
          <w:sz w:val="24"/>
          <w:szCs w:val="26"/>
        </w:rPr>
        <w:t>%</w:t>
      </w:r>
      <w:r>
        <w:rPr>
          <w:rFonts w:ascii="Garamond" w:hAnsi="Garamond"/>
          <w:sz w:val="24"/>
          <w:szCs w:val="26"/>
        </w:rPr>
        <w:t xml:space="preserve"> del total</w:t>
      </w:r>
      <w:r w:rsidR="00A20652">
        <w:rPr>
          <w:rFonts w:ascii="Garamond" w:hAnsi="Garamond"/>
          <w:sz w:val="24"/>
          <w:szCs w:val="26"/>
        </w:rPr>
        <w:t>),</w:t>
      </w:r>
      <w:r>
        <w:rPr>
          <w:rFonts w:ascii="Garamond" w:hAnsi="Garamond"/>
          <w:sz w:val="24"/>
          <w:szCs w:val="26"/>
        </w:rPr>
        <w:t xml:space="preserve"> y los nuevos aportes de capital</w:t>
      </w:r>
      <w:r w:rsidR="00A20652">
        <w:rPr>
          <w:rFonts w:ascii="Garamond" w:hAnsi="Garamond"/>
          <w:sz w:val="24"/>
          <w:szCs w:val="26"/>
        </w:rPr>
        <w:t xml:space="preserve"> con </w:t>
      </w:r>
      <w:r>
        <w:rPr>
          <w:rFonts w:ascii="Garamond" w:hAnsi="Garamond"/>
          <w:sz w:val="24"/>
          <w:szCs w:val="26"/>
        </w:rPr>
        <w:t>238.0 millones</w:t>
      </w:r>
      <w:r w:rsidR="00A20652">
        <w:rPr>
          <w:rFonts w:ascii="Garamond" w:hAnsi="Garamond"/>
          <w:sz w:val="24"/>
          <w:szCs w:val="26"/>
        </w:rPr>
        <w:t xml:space="preserve"> de dólares (</w:t>
      </w:r>
      <w:r>
        <w:rPr>
          <w:rFonts w:ascii="Garamond" w:hAnsi="Garamond"/>
          <w:sz w:val="24"/>
          <w:szCs w:val="26"/>
        </w:rPr>
        <w:t>15.0</w:t>
      </w:r>
      <w:r w:rsidR="00A20652">
        <w:rPr>
          <w:rFonts w:ascii="Garamond" w:hAnsi="Garamond"/>
          <w:sz w:val="24"/>
          <w:szCs w:val="26"/>
        </w:rPr>
        <w:t>% del total)</w:t>
      </w:r>
      <w:r>
        <w:rPr>
          <w:rFonts w:ascii="Garamond" w:hAnsi="Garamond"/>
          <w:sz w:val="24"/>
          <w:szCs w:val="26"/>
        </w:rPr>
        <w:t xml:space="preserve">. El aumento interanual de los ingresos brutos de IED estuvo explicado por el </w:t>
      </w:r>
      <w:r w:rsidRPr="00822511">
        <w:rPr>
          <w:rFonts w:ascii="Garamond" w:hAnsi="Garamond"/>
          <w:sz w:val="24"/>
          <w:szCs w:val="26"/>
        </w:rPr>
        <w:t>aumento de 13.4 por ciento en los desembolsos de deuda relacionada, y de mayores aportes de capital, principalmente en los sectores de manufactura y pesca</w:t>
      </w:r>
      <w:r>
        <w:rPr>
          <w:rFonts w:ascii="Garamond" w:hAnsi="Garamond"/>
          <w:sz w:val="24"/>
          <w:szCs w:val="26"/>
        </w:rPr>
        <w:t xml:space="preserve">. </w:t>
      </w:r>
    </w:p>
    <w:p w:rsidR="0044026C" w:rsidRPr="0044026C" w:rsidRDefault="0044026C" w:rsidP="00597F6F">
      <w:pPr>
        <w:jc w:val="both"/>
        <w:rPr>
          <w:rFonts w:ascii="Garamond" w:hAnsi="Garamond"/>
          <w:sz w:val="4"/>
          <w:szCs w:val="26"/>
        </w:rPr>
      </w:pPr>
    </w:p>
    <w:p w:rsidR="00597F6F" w:rsidRDefault="00597F6F" w:rsidP="00597F6F">
      <w:pPr>
        <w:jc w:val="both"/>
        <w:rPr>
          <w:rFonts w:ascii="Garamond" w:hAnsi="Garamond"/>
          <w:sz w:val="24"/>
          <w:szCs w:val="26"/>
        </w:rPr>
      </w:pPr>
      <w:r>
        <w:rPr>
          <w:rFonts w:ascii="Garamond" w:hAnsi="Garamond"/>
          <w:sz w:val="24"/>
          <w:szCs w:val="26"/>
        </w:rPr>
        <w:t xml:space="preserve">En relación con los flujos netos de IED, la </w:t>
      </w:r>
      <w:r w:rsidRPr="00221B02">
        <w:rPr>
          <w:rFonts w:ascii="Garamond" w:hAnsi="Garamond"/>
          <w:sz w:val="24"/>
          <w:szCs w:val="26"/>
        </w:rPr>
        <w:t xml:space="preserve">reinversión de utilidades </w:t>
      </w:r>
      <w:r>
        <w:rPr>
          <w:rFonts w:ascii="Garamond" w:hAnsi="Garamond"/>
          <w:sz w:val="24"/>
          <w:szCs w:val="26"/>
        </w:rPr>
        <w:t>(US$</w:t>
      </w:r>
      <w:r w:rsidRPr="00221B02">
        <w:rPr>
          <w:rFonts w:ascii="Garamond" w:hAnsi="Garamond"/>
          <w:sz w:val="24"/>
          <w:szCs w:val="26"/>
        </w:rPr>
        <w:t xml:space="preserve"> 517.9 millones</w:t>
      </w:r>
      <w:r>
        <w:rPr>
          <w:rFonts w:ascii="Garamond" w:hAnsi="Garamond"/>
          <w:sz w:val="24"/>
          <w:szCs w:val="26"/>
        </w:rPr>
        <w:t xml:space="preserve">) representó el </w:t>
      </w:r>
      <w:r w:rsidRPr="00221B02">
        <w:rPr>
          <w:rFonts w:ascii="Garamond" w:hAnsi="Garamond"/>
          <w:sz w:val="24"/>
          <w:szCs w:val="26"/>
        </w:rPr>
        <w:t>63.9</w:t>
      </w:r>
      <w:r>
        <w:rPr>
          <w:rFonts w:ascii="Garamond" w:hAnsi="Garamond"/>
          <w:sz w:val="24"/>
          <w:szCs w:val="26"/>
        </w:rPr>
        <w:t xml:space="preserve"> por ciento del total, </w:t>
      </w:r>
      <w:bookmarkStart w:id="1" w:name="_Hlk149296273"/>
      <w:r>
        <w:rPr>
          <w:rFonts w:ascii="Garamond" w:hAnsi="Garamond"/>
          <w:sz w:val="24"/>
          <w:szCs w:val="26"/>
        </w:rPr>
        <w:t xml:space="preserve">la </w:t>
      </w:r>
      <w:r w:rsidRPr="00221B02">
        <w:rPr>
          <w:rFonts w:ascii="Garamond" w:hAnsi="Garamond"/>
          <w:sz w:val="24"/>
          <w:szCs w:val="26"/>
        </w:rPr>
        <w:t>que registró un aumento de 5.9 por ciento con respecto al mismo período de 2023 (US$489.0 millones).</w:t>
      </w:r>
      <w:bookmarkEnd w:id="0"/>
      <w:r w:rsidRPr="00221B02">
        <w:rPr>
          <w:rFonts w:ascii="Garamond" w:hAnsi="Garamond"/>
          <w:sz w:val="24"/>
          <w:szCs w:val="26"/>
        </w:rPr>
        <w:t xml:space="preserve">   </w:t>
      </w:r>
      <w:bookmarkEnd w:id="1"/>
    </w:p>
    <w:p w:rsidR="0044026C" w:rsidRPr="0044026C" w:rsidRDefault="0044026C" w:rsidP="00597F6F">
      <w:pPr>
        <w:jc w:val="both"/>
        <w:rPr>
          <w:rFonts w:ascii="Garamond" w:hAnsi="Garamond"/>
          <w:sz w:val="8"/>
          <w:szCs w:val="26"/>
        </w:rPr>
      </w:pPr>
    </w:p>
    <w:p w:rsidR="00597F6F" w:rsidRDefault="00597F6F" w:rsidP="00187800">
      <w:pPr>
        <w:jc w:val="center"/>
      </w:pPr>
      <w:r w:rsidRPr="00415E0B">
        <w:rPr>
          <w:noProof/>
          <w:sz w:val="12"/>
        </w:rPr>
        <w:drawing>
          <wp:inline distT="0" distB="0" distL="0" distR="0" wp14:anchorId="793B9C1E" wp14:editId="6ECE8B09">
            <wp:extent cx="2993771" cy="2368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446" cy="2371458"/>
                    </a:xfrm>
                    <a:prstGeom prst="rect">
                      <a:avLst/>
                    </a:prstGeom>
                    <a:noFill/>
                    <a:ln>
                      <a:noFill/>
                    </a:ln>
                  </pic:spPr>
                </pic:pic>
              </a:graphicData>
            </a:graphic>
          </wp:inline>
        </w:drawing>
      </w:r>
    </w:p>
    <w:p w:rsidR="00597F6F" w:rsidRPr="00221B02" w:rsidRDefault="00597F6F" w:rsidP="00597F6F">
      <w:pPr>
        <w:jc w:val="both"/>
        <w:rPr>
          <w:rFonts w:ascii="Garamond" w:hAnsi="Garamond"/>
          <w:sz w:val="24"/>
          <w:szCs w:val="26"/>
        </w:rPr>
      </w:pPr>
      <w:r w:rsidRPr="00221B02">
        <w:rPr>
          <w:rFonts w:ascii="Garamond" w:hAnsi="Garamond"/>
          <w:sz w:val="24"/>
          <w:szCs w:val="26"/>
        </w:rPr>
        <w:t>Del total de la reinversión de utilidades, el sector industria aportó el 42.1 por ciento</w:t>
      </w:r>
      <w:r>
        <w:rPr>
          <w:rFonts w:ascii="Garamond" w:hAnsi="Garamond"/>
          <w:sz w:val="24"/>
          <w:szCs w:val="26"/>
        </w:rPr>
        <w:t xml:space="preserve">; </w:t>
      </w:r>
      <w:r w:rsidRPr="00221B02">
        <w:rPr>
          <w:rFonts w:ascii="Garamond" w:hAnsi="Garamond"/>
          <w:sz w:val="24"/>
          <w:szCs w:val="26"/>
        </w:rPr>
        <w:t xml:space="preserve">comercio y servicios </w:t>
      </w:r>
      <w:r>
        <w:rPr>
          <w:rFonts w:ascii="Garamond" w:hAnsi="Garamond"/>
          <w:sz w:val="24"/>
          <w:szCs w:val="26"/>
        </w:rPr>
        <w:t xml:space="preserve">el </w:t>
      </w:r>
      <w:r w:rsidRPr="00221B02">
        <w:rPr>
          <w:rFonts w:ascii="Garamond" w:hAnsi="Garamond"/>
          <w:sz w:val="24"/>
          <w:szCs w:val="26"/>
        </w:rPr>
        <w:t>21.7 por ciento</w:t>
      </w:r>
      <w:r>
        <w:rPr>
          <w:rFonts w:ascii="Garamond" w:hAnsi="Garamond"/>
          <w:sz w:val="24"/>
          <w:szCs w:val="26"/>
        </w:rPr>
        <w:t xml:space="preserve">; </w:t>
      </w:r>
      <w:r w:rsidRPr="00221B02">
        <w:rPr>
          <w:rFonts w:ascii="Garamond" w:hAnsi="Garamond"/>
          <w:sz w:val="24"/>
          <w:szCs w:val="26"/>
        </w:rPr>
        <w:t xml:space="preserve">energía y minas </w:t>
      </w:r>
      <w:r>
        <w:rPr>
          <w:rFonts w:ascii="Garamond" w:hAnsi="Garamond"/>
          <w:sz w:val="24"/>
          <w:szCs w:val="26"/>
        </w:rPr>
        <w:t xml:space="preserve">contribuyó con </w:t>
      </w:r>
      <w:r w:rsidRPr="00221B02">
        <w:rPr>
          <w:rFonts w:ascii="Garamond" w:hAnsi="Garamond"/>
          <w:sz w:val="24"/>
          <w:szCs w:val="26"/>
        </w:rPr>
        <w:t>el 20.2 por ciento</w:t>
      </w:r>
      <w:r>
        <w:rPr>
          <w:rFonts w:ascii="Garamond" w:hAnsi="Garamond"/>
          <w:sz w:val="24"/>
          <w:szCs w:val="26"/>
        </w:rPr>
        <w:t>;</w:t>
      </w:r>
      <w:r w:rsidRPr="00221B02">
        <w:rPr>
          <w:rFonts w:ascii="Garamond" w:hAnsi="Garamond"/>
          <w:sz w:val="24"/>
          <w:szCs w:val="26"/>
        </w:rPr>
        <w:t xml:space="preserve"> y el sector financiero con </w:t>
      </w:r>
      <w:r>
        <w:rPr>
          <w:rFonts w:ascii="Garamond" w:hAnsi="Garamond"/>
          <w:sz w:val="24"/>
          <w:szCs w:val="26"/>
        </w:rPr>
        <w:t xml:space="preserve">el </w:t>
      </w:r>
      <w:r w:rsidRPr="00221B02">
        <w:rPr>
          <w:rFonts w:ascii="Garamond" w:hAnsi="Garamond"/>
          <w:sz w:val="24"/>
          <w:szCs w:val="26"/>
        </w:rPr>
        <w:t>16.5 por ciento, entre otros.</w:t>
      </w:r>
      <w:bookmarkStart w:id="2" w:name="_Hlk53148533"/>
    </w:p>
    <w:p w:rsidR="00597F6F" w:rsidRPr="00221B02" w:rsidRDefault="00597F6F" w:rsidP="00597F6F">
      <w:pPr>
        <w:jc w:val="both"/>
        <w:rPr>
          <w:rFonts w:ascii="Garamond" w:hAnsi="Garamond"/>
          <w:sz w:val="24"/>
          <w:szCs w:val="26"/>
        </w:rPr>
      </w:pPr>
      <w:r>
        <w:rPr>
          <w:rFonts w:ascii="Garamond" w:hAnsi="Garamond"/>
          <w:sz w:val="24"/>
          <w:szCs w:val="26"/>
        </w:rPr>
        <w:t xml:space="preserve">Por su parte, los nuevos aportes de capital (US$238.0 millones) representaron el </w:t>
      </w:r>
      <w:r w:rsidRPr="00221B02">
        <w:rPr>
          <w:rFonts w:ascii="Garamond" w:hAnsi="Garamond"/>
          <w:sz w:val="24"/>
          <w:szCs w:val="26"/>
        </w:rPr>
        <w:t>29.4</w:t>
      </w:r>
      <w:r>
        <w:rPr>
          <w:rFonts w:ascii="Garamond" w:hAnsi="Garamond"/>
          <w:sz w:val="24"/>
          <w:szCs w:val="26"/>
        </w:rPr>
        <w:t xml:space="preserve"> por ciento</w:t>
      </w:r>
      <w:r w:rsidRPr="00221B02">
        <w:rPr>
          <w:rFonts w:ascii="Garamond" w:hAnsi="Garamond"/>
          <w:sz w:val="24"/>
          <w:szCs w:val="26"/>
        </w:rPr>
        <w:t xml:space="preserve"> de</w:t>
      </w:r>
      <w:r>
        <w:rPr>
          <w:rFonts w:ascii="Garamond" w:hAnsi="Garamond"/>
          <w:sz w:val="24"/>
          <w:szCs w:val="26"/>
        </w:rPr>
        <w:t>l total de los flujos netos de I</w:t>
      </w:r>
      <w:r w:rsidRPr="00221B02">
        <w:rPr>
          <w:rFonts w:ascii="Garamond" w:hAnsi="Garamond"/>
          <w:sz w:val="24"/>
          <w:szCs w:val="26"/>
        </w:rPr>
        <w:t>ED</w:t>
      </w:r>
      <w:r>
        <w:rPr>
          <w:rFonts w:ascii="Garamond" w:hAnsi="Garamond"/>
          <w:sz w:val="24"/>
          <w:szCs w:val="26"/>
        </w:rPr>
        <w:t xml:space="preserve">, </w:t>
      </w:r>
      <w:bookmarkStart w:id="3" w:name="_Hlk163734065"/>
      <w:bookmarkEnd w:id="2"/>
      <w:r>
        <w:rPr>
          <w:rFonts w:ascii="Garamond" w:hAnsi="Garamond"/>
          <w:sz w:val="24"/>
          <w:szCs w:val="26"/>
        </w:rPr>
        <w:t xml:space="preserve">los cuales fueron </w:t>
      </w:r>
      <w:r w:rsidRPr="00221B02">
        <w:rPr>
          <w:rFonts w:ascii="Garamond" w:hAnsi="Garamond"/>
          <w:sz w:val="24"/>
          <w:szCs w:val="26"/>
        </w:rPr>
        <w:t>75.3 por ciento mayor que el monto registrado en igual período de 2023 (US$135.8 millones)</w:t>
      </w:r>
      <w:bookmarkEnd w:id="3"/>
      <w:r w:rsidRPr="00221B02">
        <w:rPr>
          <w:rFonts w:ascii="Garamond" w:hAnsi="Garamond"/>
          <w:sz w:val="24"/>
          <w:szCs w:val="26"/>
        </w:rPr>
        <w:t xml:space="preserve">. Los mayores aportes de capital realizados en el </w:t>
      </w:r>
      <w:r w:rsidR="0065105A">
        <w:rPr>
          <w:rFonts w:ascii="Garamond" w:hAnsi="Garamond"/>
          <w:sz w:val="24"/>
          <w:szCs w:val="26"/>
        </w:rPr>
        <w:t>per</w:t>
      </w:r>
      <w:r w:rsidR="00A20652">
        <w:rPr>
          <w:rFonts w:ascii="Garamond" w:hAnsi="Garamond"/>
          <w:sz w:val="24"/>
          <w:szCs w:val="26"/>
        </w:rPr>
        <w:t>í</w:t>
      </w:r>
      <w:r w:rsidR="0065105A">
        <w:rPr>
          <w:rFonts w:ascii="Garamond" w:hAnsi="Garamond"/>
          <w:sz w:val="24"/>
          <w:szCs w:val="26"/>
        </w:rPr>
        <w:t xml:space="preserve">odo, </w:t>
      </w:r>
      <w:r w:rsidRPr="00221B02">
        <w:rPr>
          <w:rFonts w:ascii="Garamond" w:hAnsi="Garamond"/>
          <w:sz w:val="24"/>
          <w:szCs w:val="26"/>
        </w:rPr>
        <w:t xml:space="preserve">se </w:t>
      </w:r>
      <w:r w:rsidR="0065105A">
        <w:rPr>
          <w:rFonts w:ascii="Garamond" w:hAnsi="Garamond"/>
          <w:sz w:val="24"/>
          <w:szCs w:val="26"/>
        </w:rPr>
        <w:t xml:space="preserve">concentraron </w:t>
      </w:r>
      <w:r w:rsidRPr="00221B02">
        <w:rPr>
          <w:rFonts w:ascii="Garamond" w:hAnsi="Garamond"/>
          <w:sz w:val="24"/>
          <w:szCs w:val="26"/>
        </w:rPr>
        <w:t xml:space="preserve">en </w:t>
      </w:r>
      <w:bookmarkStart w:id="4" w:name="_Hlk149296405"/>
      <w:r w:rsidRPr="00221B02">
        <w:rPr>
          <w:rFonts w:ascii="Garamond" w:hAnsi="Garamond"/>
          <w:sz w:val="24"/>
          <w:szCs w:val="26"/>
        </w:rPr>
        <w:t>los sectores de industria (34.6%), pesca (30.0%), financiero (16.0%)</w:t>
      </w:r>
      <w:r>
        <w:rPr>
          <w:rFonts w:ascii="Garamond" w:hAnsi="Garamond"/>
          <w:sz w:val="24"/>
          <w:szCs w:val="26"/>
        </w:rPr>
        <w:t>,</w:t>
      </w:r>
      <w:r w:rsidRPr="00221B02">
        <w:rPr>
          <w:rFonts w:ascii="Garamond" w:hAnsi="Garamond"/>
          <w:sz w:val="24"/>
          <w:szCs w:val="26"/>
        </w:rPr>
        <w:t xml:space="preserve"> y energía y minas (11.3%), entre otros</w:t>
      </w:r>
      <w:bookmarkEnd w:id="4"/>
      <w:r w:rsidRPr="00221B02">
        <w:rPr>
          <w:rFonts w:ascii="Garamond" w:hAnsi="Garamond"/>
          <w:sz w:val="24"/>
          <w:szCs w:val="26"/>
        </w:rPr>
        <w:t xml:space="preserve">. </w:t>
      </w:r>
    </w:p>
    <w:p w:rsidR="00597F6F" w:rsidRDefault="00597F6F" w:rsidP="00597F6F">
      <w:pPr>
        <w:widowControl w:val="0"/>
        <w:tabs>
          <w:tab w:val="left" w:pos="5598"/>
        </w:tabs>
        <w:autoSpaceDE w:val="0"/>
        <w:autoSpaceDN w:val="0"/>
        <w:adjustRightInd w:val="0"/>
        <w:ind w:left="20" w:right="-70"/>
        <w:jc w:val="both"/>
        <w:rPr>
          <w:rFonts w:ascii="Garamond" w:hAnsi="Garamond"/>
          <w:sz w:val="24"/>
          <w:szCs w:val="26"/>
        </w:rPr>
      </w:pPr>
      <w:r>
        <w:rPr>
          <w:rFonts w:ascii="Garamond" w:hAnsi="Garamond"/>
          <w:sz w:val="24"/>
          <w:szCs w:val="26"/>
        </w:rPr>
        <w:t xml:space="preserve">Los flujos netos de </w:t>
      </w:r>
      <w:r w:rsidRPr="00221B02">
        <w:rPr>
          <w:rFonts w:ascii="Garamond" w:hAnsi="Garamond"/>
          <w:sz w:val="24"/>
          <w:szCs w:val="26"/>
        </w:rPr>
        <w:t>endeudamiento externo con empresas relacionadas (instrumentos de deuda relacionada)</w:t>
      </w:r>
      <w:r>
        <w:rPr>
          <w:rFonts w:ascii="Garamond" w:hAnsi="Garamond"/>
          <w:sz w:val="24"/>
          <w:szCs w:val="26"/>
        </w:rPr>
        <w:t xml:space="preserve"> fueron de 54.4 millones de dólares en el semestre, como resultado de recibirse </w:t>
      </w:r>
      <w:bookmarkStart w:id="5" w:name="_Hlk163734206"/>
      <w:r w:rsidRPr="00221B02">
        <w:rPr>
          <w:rFonts w:ascii="Garamond" w:hAnsi="Garamond"/>
          <w:sz w:val="24"/>
          <w:szCs w:val="26"/>
        </w:rPr>
        <w:t xml:space="preserve">desembolsos de </w:t>
      </w:r>
      <w:r>
        <w:rPr>
          <w:rFonts w:ascii="Garamond" w:hAnsi="Garamond"/>
          <w:sz w:val="24"/>
          <w:szCs w:val="26"/>
        </w:rPr>
        <w:t>807.2 millones</w:t>
      </w:r>
      <w:r w:rsidR="006A75D5">
        <w:rPr>
          <w:rFonts w:ascii="Garamond" w:hAnsi="Garamond"/>
          <w:sz w:val="24"/>
          <w:szCs w:val="26"/>
        </w:rPr>
        <w:t xml:space="preserve"> de dólares</w:t>
      </w:r>
      <w:r>
        <w:rPr>
          <w:rFonts w:ascii="Garamond" w:hAnsi="Garamond"/>
          <w:sz w:val="24"/>
          <w:szCs w:val="26"/>
        </w:rPr>
        <w:t xml:space="preserve"> y pagos </w:t>
      </w:r>
      <w:r w:rsidR="006A75D5">
        <w:rPr>
          <w:rFonts w:ascii="Garamond" w:hAnsi="Garamond"/>
          <w:sz w:val="24"/>
          <w:szCs w:val="26"/>
        </w:rPr>
        <w:t>por</w:t>
      </w:r>
      <w:r>
        <w:rPr>
          <w:rFonts w:ascii="Garamond" w:hAnsi="Garamond"/>
          <w:sz w:val="24"/>
          <w:szCs w:val="26"/>
        </w:rPr>
        <w:t xml:space="preserve"> amortización de 75</w:t>
      </w:r>
      <w:r w:rsidR="006A75D5">
        <w:rPr>
          <w:rFonts w:ascii="Garamond" w:hAnsi="Garamond"/>
          <w:sz w:val="24"/>
          <w:szCs w:val="26"/>
        </w:rPr>
        <w:t>2</w:t>
      </w:r>
      <w:r>
        <w:rPr>
          <w:rFonts w:ascii="Garamond" w:hAnsi="Garamond"/>
          <w:sz w:val="24"/>
          <w:szCs w:val="26"/>
        </w:rPr>
        <w:t>.</w:t>
      </w:r>
      <w:r w:rsidR="006A75D5">
        <w:rPr>
          <w:rFonts w:ascii="Garamond" w:hAnsi="Garamond"/>
          <w:sz w:val="24"/>
          <w:szCs w:val="26"/>
        </w:rPr>
        <w:t>8</w:t>
      </w:r>
      <w:r>
        <w:rPr>
          <w:rFonts w:ascii="Garamond" w:hAnsi="Garamond"/>
          <w:sz w:val="24"/>
          <w:szCs w:val="26"/>
        </w:rPr>
        <w:t xml:space="preserve"> millones de dólares. Los desembolsos reflejaron un</w:t>
      </w:r>
      <w:r w:rsidR="0065105A">
        <w:rPr>
          <w:rFonts w:ascii="Garamond" w:hAnsi="Garamond"/>
          <w:sz w:val="24"/>
          <w:szCs w:val="26"/>
        </w:rPr>
        <w:t xml:space="preserve"> aumento </w:t>
      </w:r>
      <w:r w:rsidR="00D272ED">
        <w:rPr>
          <w:rFonts w:ascii="Garamond" w:hAnsi="Garamond"/>
          <w:sz w:val="24"/>
          <w:szCs w:val="26"/>
        </w:rPr>
        <w:t xml:space="preserve">interanual </w:t>
      </w:r>
      <w:r w:rsidR="0065105A">
        <w:rPr>
          <w:rFonts w:ascii="Garamond" w:hAnsi="Garamond"/>
          <w:sz w:val="24"/>
          <w:szCs w:val="26"/>
        </w:rPr>
        <w:t>de 13.4 por ciento (+US$95.1 millones)</w:t>
      </w:r>
      <w:r w:rsidR="00D272ED">
        <w:rPr>
          <w:rFonts w:ascii="Garamond" w:hAnsi="Garamond"/>
          <w:sz w:val="24"/>
          <w:szCs w:val="26"/>
        </w:rPr>
        <w:t xml:space="preserve">, y el pago de amortización de deuda relacionada aumentó 47.6 por ciento (+US$242.9 millones), lo que significó una reducción del saldo de endeudamiento relacionado, principalmente en los sectores de energía y minería, y comercio y servicio.  </w:t>
      </w:r>
      <w:bookmarkEnd w:id="5"/>
      <w:r w:rsidRPr="00221B02">
        <w:rPr>
          <w:rFonts w:ascii="Garamond" w:hAnsi="Garamond"/>
          <w:sz w:val="24"/>
          <w:szCs w:val="26"/>
        </w:rPr>
        <w:t xml:space="preserve"> </w:t>
      </w:r>
    </w:p>
    <w:p w:rsidR="00597F6F" w:rsidRPr="00221B02" w:rsidRDefault="00597F6F" w:rsidP="00597F6F">
      <w:pPr>
        <w:jc w:val="both"/>
        <w:rPr>
          <w:rFonts w:ascii="Garamond" w:hAnsi="Garamond"/>
          <w:color w:val="0070C0"/>
          <w:sz w:val="32"/>
        </w:rPr>
      </w:pPr>
      <w:r w:rsidRPr="00221B02">
        <w:rPr>
          <w:rFonts w:ascii="Garamond" w:hAnsi="Garamond"/>
          <w:color w:val="0070C0"/>
          <w:sz w:val="32"/>
        </w:rPr>
        <w:t>Inversión Extranjera Directa neta por sector económico</w:t>
      </w:r>
    </w:p>
    <w:p w:rsidR="00597F6F" w:rsidRDefault="00597F6F" w:rsidP="00597F6F">
      <w:pPr>
        <w:jc w:val="both"/>
        <w:rPr>
          <w:rFonts w:ascii="Garamond" w:hAnsi="Garamond"/>
          <w:sz w:val="24"/>
          <w:szCs w:val="26"/>
        </w:rPr>
      </w:pPr>
      <w:bookmarkStart w:id="6" w:name="_Hlk53148613"/>
      <w:r w:rsidRPr="00221B02">
        <w:rPr>
          <w:rFonts w:ascii="Garamond" w:hAnsi="Garamond"/>
          <w:sz w:val="24"/>
          <w:szCs w:val="26"/>
        </w:rPr>
        <w:t xml:space="preserve">En el primer semestre 2024, el sector económico con mayor captación de flujos netos de IED fue la industria con 356.7 millones de dólares (44.0% del total), el cual mostró un incremento de 20.3 por ciento respecto a 2023 (US$296.6 millones). Por su parte, el sector </w:t>
      </w:r>
      <w:r w:rsidR="0065105A">
        <w:rPr>
          <w:rFonts w:ascii="Garamond" w:hAnsi="Garamond"/>
          <w:sz w:val="24"/>
          <w:szCs w:val="26"/>
        </w:rPr>
        <w:t>f</w:t>
      </w:r>
      <w:r w:rsidRPr="00221B02">
        <w:rPr>
          <w:rFonts w:ascii="Garamond" w:hAnsi="Garamond"/>
          <w:sz w:val="24"/>
          <w:szCs w:val="26"/>
        </w:rPr>
        <w:t xml:space="preserve">inanciero percibió 127.9 millones de dólares (15.8% del total), 26.8 millones de dólares más de lo recibido en 2023 (US$101.1 millones); </w:t>
      </w:r>
      <w:r w:rsidRPr="00EC631F">
        <w:rPr>
          <w:rFonts w:ascii="Garamond" w:hAnsi="Garamond"/>
          <w:sz w:val="24"/>
          <w:szCs w:val="26"/>
        </w:rPr>
        <w:t>el sector de energía y minas captó 125.1 millones de dólares</w:t>
      </w:r>
      <w:r w:rsidR="00B63D26" w:rsidRPr="00EC631F">
        <w:rPr>
          <w:rFonts w:ascii="Garamond" w:hAnsi="Garamond"/>
          <w:sz w:val="24"/>
          <w:szCs w:val="26"/>
        </w:rPr>
        <w:t xml:space="preserve"> (US$188.5 millones en el primer semestre de 2023), representando </w:t>
      </w:r>
      <w:r w:rsidRPr="00EC631F">
        <w:rPr>
          <w:rFonts w:ascii="Garamond" w:hAnsi="Garamond"/>
          <w:sz w:val="24"/>
          <w:szCs w:val="26"/>
        </w:rPr>
        <w:t>15.4</w:t>
      </w:r>
      <w:r w:rsidR="00B63D26" w:rsidRPr="00EC631F">
        <w:rPr>
          <w:rFonts w:ascii="Garamond" w:hAnsi="Garamond"/>
          <w:sz w:val="24"/>
          <w:szCs w:val="26"/>
        </w:rPr>
        <w:t xml:space="preserve"> por ciento</w:t>
      </w:r>
      <w:r w:rsidRPr="00EC631F">
        <w:rPr>
          <w:rFonts w:ascii="Garamond" w:hAnsi="Garamond"/>
          <w:sz w:val="24"/>
          <w:szCs w:val="26"/>
        </w:rPr>
        <w:t xml:space="preserve"> del total</w:t>
      </w:r>
      <w:r w:rsidR="00B63D26" w:rsidRPr="00EC631F">
        <w:rPr>
          <w:rFonts w:ascii="Garamond" w:hAnsi="Garamond"/>
          <w:sz w:val="24"/>
          <w:szCs w:val="26"/>
        </w:rPr>
        <w:t xml:space="preserve"> de la IED</w:t>
      </w:r>
      <w:r w:rsidRPr="00EC631F">
        <w:rPr>
          <w:rFonts w:ascii="Garamond" w:hAnsi="Garamond"/>
          <w:sz w:val="24"/>
          <w:szCs w:val="26"/>
        </w:rPr>
        <w:t xml:space="preserve">; </w:t>
      </w:r>
      <w:r w:rsidR="00270DD1" w:rsidRPr="00EC631F">
        <w:rPr>
          <w:rFonts w:ascii="Garamond" w:hAnsi="Garamond"/>
          <w:sz w:val="24"/>
          <w:szCs w:val="26"/>
        </w:rPr>
        <w:t xml:space="preserve">así como </w:t>
      </w:r>
      <w:r w:rsidRPr="00EC631F">
        <w:rPr>
          <w:rFonts w:ascii="Garamond" w:hAnsi="Garamond"/>
          <w:sz w:val="24"/>
          <w:szCs w:val="26"/>
        </w:rPr>
        <w:t xml:space="preserve">el sector de comercio y servicios </w:t>
      </w:r>
      <w:r w:rsidR="00270DD1" w:rsidRPr="00EC631F">
        <w:rPr>
          <w:rFonts w:ascii="Garamond" w:hAnsi="Garamond"/>
          <w:sz w:val="24"/>
          <w:szCs w:val="26"/>
        </w:rPr>
        <w:t xml:space="preserve">que </w:t>
      </w:r>
      <w:r w:rsidRPr="00EC631F">
        <w:rPr>
          <w:rFonts w:ascii="Garamond" w:hAnsi="Garamond"/>
          <w:sz w:val="24"/>
          <w:szCs w:val="26"/>
        </w:rPr>
        <w:t xml:space="preserve">registró </w:t>
      </w:r>
      <w:r w:rsidR="0065105A" w:rsidRPr="00EC631F">
        <w:rPr>
          <w:rFonts w:ascii="Garamond" w:hAnsi="Garamond"/>
          <w:sz w:val="24"/>
          <w:szCs w:val="26"/>
        </w:rPr>
        <w:t xml:space="preserve">flujos netos de </w:t>
      </w:r>
      <w:r w:rsidRPr="00EC631F">
        <w:rPr>
          <w:rFonts w:ascii="Garamond" w:hAnsi="Garamond"/>
          <w:sz w:val="24"/>
          <w:szCs w:val="26"/>
        </w:rPr>
        <w:t xml:space="preserve">IED de 95.0 millones de dólares </w:t>
      </w:r>
      <w:r w:rsidR="00B63D26" w:rsidRPr="00EC631F">
        <w:rPr>
          <w:rFonts w:ascii="Garamond" w:hAnsi="Garamond"/>
          <w:sz w:val="24"/>
          <w:szCs w:val="26"/>
        </w:rPr>
        <w:t xml:space="preserve">(US$202.9 millones en igual período de 2023), con una participación de </w:t>
      </w:r>
      <w:r w:rsidRPr="00EC631F">
        <w:rPr>
          <w:rFonts w:ascii="Garamond" w:hAnsi="Garamond"/>
          <w:sz w:val="24"/>
          <w:szCs w:val="26"/>
        </w:rPr>
        <w:t>11.7</w:t>
      </w:r>
      <w:r w:rsidR="00B63D26" w:rsidRPr="00EC631F">
        <w:rPr>
          <w:rFonts w:ascii="Garamond" w:hAnsi="Garamond"/>
          <w:sz w:val="24"/>
          <w:szCs w:val="26"/>
        </w:rPr>
        <w:t xml:space="preserve"> por ciento</w:t>
      </w:r>
      <w:r w:rsidRPr="00EC631F">
        <w:rPr>
          <w:rFonts w:ascii="Garamond" w:hAnsi="Garamond"/>
          <w:sz w:val="24"/>
          <w:szCs w:val="26"/>
        </w:rPr>
        <w:t xml:space="preserve"> del total</w:t>
      </w:r>
      <w:r w:rsidR="00B63D26" w:rsidRPr="00EC631F">
        <w:rPr>
          <w:rFonts w:ascii="Garamond" w:hAnsi="Garamond"/>
          <w:sz w:val="24"/>
          <w:szCs w:val="26"/>
        </w:rPr>
        <w:t xml:space="preserve"> </w:t>
      </w:r>
      <w:r w:rsidR="00EC631F" w:rsidRPr="00EC631F">
        <w:rPr>
          <w:rFonts w:ascii="Garamond" w:hAnsi="Garamond"/>
          <w:sz w:val="24"/>
          <w:szCs w:val="26"/>
        </w:rPr>
        <w:t>de la IED</w:t>
      </w:r>
      <w:r w:rsidRPr="00EC631F">
        <w:rPr>
          <w:rFonts w:ascii="Garamond" w:hAnsi="Garamond"/>
          <w:sz w:val="24"/>
          <w:szCs w:val="26"/>
        </w:rPr>
        <w:t xml:space="preserve">; </w:t>
      </w:r>
      <w:r w:rsidR="00270DD1" w:rsidRPr="00EC631F">
        <w:rPr>
          <w:rFonts w:ascii="Garamond" w:hAnsi="Garamond"/>
          <w:sz w:val="24"/>
          <w:szCs w:val="26"/>
        </w:rPr>
        <w:t>y el sector pesca con 72.0 millones de dólares</w:t>
      </w:r>
      <w:r w:rsidR="00B63D26" w:rsidRPr="00EC631F">
        <w:rPr>
          <w:rFonts w:ascii="Garamond" w:hAnsi="Garamond"/>
          <w:sz w:val="24"/>
          <w:szCs w:val="26"/>
        </w:rPr>
        <w:t xml:space="preserve"> (US$18.2 millones en el primer semestre de 2023), con participación de </w:t>
      </w:r>
      <w:r w:rsidR="006E2526" w:rsidRPr="00EC631F">
        <w:rPr>
          <w:rFonts w:ascii="Garamond" w:hAnsi="Garamond"/>
          <w:sz w:val="24"/>
          <w:szCs w:val="26"/>
        </w:rPr>
        <w:t>8.9</w:t>
      </w:r>
      <w:r w:rsidR="00B63D26" w:rsidRPr="00EC631F">
        <w:rPr>
          <w:rFonts w:ascii="Garamond" w:hAnsi="Garamond"/>
          <w:sz w:val="24"/>
          <w:szCs w:val="26"/>
        </w:rPr>
        <w:t xml:space="preserve"> por ciento en la IED</w:t>
      </w:r>
      <w:r w:rsidR="00270DD1" w:rsidRPr="00EC631F">
        <w:rPr>
          <w:rFonts w:ascii="Garamond" w:hAnsi="Garamond"/>
          <w:sz w:val="24"/>
          <w:szCs w:val="26"/>
        </w:rPr>
        <w:t>, entre otros.</w:t>
      </w:r>
      <w:bookmarkStart w:id="7" w:name="_GoBack"/>
      <w:bookmarkEnd w:id="6"/>
      <w:bookmarkEnd w:id="7"/>
    </w:p>
    <w:p w:rsidR="00187800" w:rsidRDefault="00187800" w:rsidP="00187800">
      <w:pPr>
        <w:jc w:val="center"/>
        <w:rPr>
          <w:rFonts w:ascii="Garamond" w:hAnsi="Garamond"/>
          <w:sz w:val="24"/>
          <w:szCs w:val="26"/>
        </w:rPr>
      </w:pPr>
      <w:r w:rsidRPr="002E7474">
        <w:rPr>
          <w:noProof/>
          <w:sz w:val="12"/>
        </w:rPr>
        <w:lastRenderedPageBreak/>
        <w:drawing>
          <wp:inline distT="0" distB="0" distL="0" distR="0" wp14:anchorId="687DDA8D" wp14:editId="3F362EDC">
            <wp:extent cx="2899198" cy="2295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4862" cy="2300010"/>
                    </a:xfrm>
                    <a:prstGeom prst="rect">
                      <a:avLst/>
                    </a:prstGeom>
                    <a:noFill/>
                    <a:ln>
                      <a:noFill/>
                    </a:ln>
                  </pic:spPr>
                </pic:pic>
              </a:graphicData>
            </a:graphic>
          </wp:inline>
        </w:drawing>
      </w:r>
    </w:p>
    <w:p w:rsidR="00597F6F" w:rsidRPr="00221B02" w:rsidRDefault="00597F6F" w:rsidP="00597F6F">
      <w:pPr>
        <w:jc w:val="both"/>
        <w:rPr>
          <w:rFonts w:ascii="Garamond" w:hAnsi="Garamond"/>
          <w:color w:val="0070C0"/>
          <w:sz w:val="32"/>
        </w:rPr>
      </w:pPr>
      <w:r w:rsidRPr="00221B02">
        <w:rPr>
          <w:rFonts w:ascii="Garamond" w:hAnsi="Garamond"/>
          <w:color w:val="0070C0"/>
          <w:sz w:val="32"/>
        </w:rPr>
        <w:t>Flujo neto de Inversión Extranjera Directa neta según país de origen.</w:t>
      </w:r>
    </w:p>
    <w:p w:rsidR="00597F6F" w:rsidRPr="00187800" w:rsidRDefault="00597F6F" w:rsidP="00597F6F">
      <w:pPr>
        <w:jc w:val="both"/>
        <w:rPr>
          <w:rFonts w:ascii="Garamond" w:hAnsi="Garamond"/>
          <w:sz w:val="24"/>
          <w:szCs w:val="26"/>
        </w:rPr>
      </w:pPr>
      <w:r w:rsidRPr="00187800">
        <w:rPr>
          <w:rFonts w:ascii="Garamond" w:hAnsi="Garamond"/>
          <w:sz w:val="24"/>
          <w:szCs w:val="26"/>
        </w:rPr>
        <w:t xml:space="preserve">Con relación al origen de la IED neta del primer semestre de 2024, los flujos procedentes de Panamá totalizaron </w:t>
      </w:r>
      <w:bookmarkStart w:id="8" w:name="_Hlk163734531"/>
      <w:r w:rsidRPr="00187800">
        <w:rPr>
          <w:rFonts w:ascii="Garamond" w:hAnsi="Garamond"/>
          <w:sz w:val="24"/>
          <w:szCs w:val="26"/>
        </w:rPr>
        <w:t>179.3 millones de dólares (22.1% del total), los cuales se concentraron principalmente en los sectores financiero, industria y energía</w:t>
      </w:r>
      <w:bookmarkEnd w:id="8"/>
      <w:r w:rsidRPr="00187800">
        <w:rPr>
          <w:rFonts w:ascii="Garamond" w:hAnsi="Garamond"/>
          <w:sz w:val="24"/>
          <w:szCs w:val="26"/>
        </w:rPr>
        <w:t>. Por su parte, la IED neta proveniente de Estados Unidos fue de 170.8 millones de dólares (21.1% del total)</w:t>
      </w:r>
      <w:r w:rsidR="005E7A18">
        <w:rPr>
          <w:rFonts w:ascii="Garamond" w:hAnsi="Garamond"/>
          <w:sz w:val="24"/>
          <w:szCs w:val="26"/>
        </w:rPr>
        <w:t xml:space="preserve">, </w:t>
      </w:r>
      <w:r w:rsidR="003B2937">
        <w:rPr>
          <w:rFonts w:ascii="Garamond" w:hAnsi="Garamond"/>
          <w:sz w:val="24"/>
          <w:szCs w:val="26"/>
        </w:rPr>
        <w:t xml:space="preserve">orientadas </w:t>
      </w:r>
      <w:r w:rsidRPr="00187800">
        <w:rPr>
          <w:rFonts w:ascii="Garamond" w:hAnsi="Garamond"/>
          <w:sz w:val="24"/>
          <w:szCs w:val="26"/>
        </w:rPr>
        <w:t xml:space="preserve">principalmente en los sectores de industria, energía y comercio y servicios. </w:t>
      </w:r>
    </w:p>
    <w:p w:rsidR="00597F6F" w:rsidRDefault="00597F6F" w:rsidP="00597F6F">
      <w:pPr>
        <w:jc w:val="both"/>
        <w:rPr>
          <w:rFonts w:ascii="Garamond" w:hAnsi="Garamond"/>
          <w:sz w:val="24"/>
          <w:szCs w:val="26"/>
        </w:rPr>
      </w:pPr>
      <w:bookmarkStart w:id="9" w:name="_Hlk180136557"/>
      <w:r w:rsidRPr="00221B02">
        <w:rPr>
          <w:rFonts w:ascii="Garamond" w:hAnsi="Garamond"/>
          <w:sz w:val="24"/>
          <w:szCs w:val="26"/>
        </w:rPr>
        <w:t>De España, se contabilizó flujos netos de 71.7 millones de dólares (8.8% del total), teniendo como destino el sector pesca;  de México se recibieron 42.8 millones de dólares (5.3% del total), orientados principalmente a los sectores de comunicaciones, comercio e indus</w:t>
      </w:r>
      <w:bookmarkEnd w:id="9"/>
      <w:r w:rsidRPr="00221B02">
        <w:rPr>
          <w:rFonts w:ascii="Garamond" w:hAnsi="Garamond"/>
          <w:sz w:val="24"/>
          <w:szCs w:val="26"/>
        </w:rPr>
        <w:t>tria; de Costa Rica ingresaron 39.2 millones de dólares (4.8% del total), la cual estuvo principalmente orientada a los sectores de comercio, industria y minas; la IED procedente de Honduras sumó 33.6 millones de dólares (4.1% del total), la cual se concentró en los sectores de pesca e industria; de Barbados, se registró IED neta de 32.0 millones de dólares (3.9% del total), concentrándose principalmente en el sector minas; entre otros.</w:t>
      </w:r>
    </w:p>
    <w:p w:rsidR="00597F6F" w:rsidRDefault="00187800" w:rsidP="0045393B">
      <w:pPr>
        <w:jc w:val="center"/>
      </w:pPr>
      <w:r w:rsidRPr="00187800">
        <w:rPr>
          <w:noProof/>
        </w:rPr>
        <w:drawing>
          <wp:inline distT="0" distB="0" distL="0" distR="0">
            <wp:extent cx="3290152" cy="2290763"/>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6213" cy="2301946"/>
                    </a:xfrm>
                    <a:prstGeom prst="rect">
                      <a:avLst/>
                    </a:prstGeom>
                    <a:noFill/>
                    <a:ln>
                      <a:noFill/>
                    </a:ln>
                  </pic:spPr>
                </pic:pic>
              </a:graphicData>
            </a:graphic>
          </wp:inline>
        </w:drawing>
      </w:r>
    </w:p>
    <w:p w:rsidR="005E7A18" w:rsidRDefault="005E7A18" w:rsidP="00597F6F">
      <w:pPr>
        <w:jc w:val="both"/>
        <w:rPr>
          <w:rFonts w:ascii="Garamond" w:hAnsi="Garamond"/>
          <w:color w:val="0070C0"/>
          <w:sz w:val="32"/>
        </w:rPr>
      </w:pPr>
    </w:p>
    <w:p w:rsidR="00597F6F" w:rsidRPr="00221B02" w:rsidRDefault="00597F6F" w:rsidP="00597F6F">
      <w:pPr>
        <w:jc w:val="both"/>
        <w:rPr>
          <w:rFonts w:ascii="Garamond" w:hAnsi="Garamond"/>
          <w:color w:val="0070C0"/>
          <w:sz w:val="32"/>
        </w:rPr>
      </w:pPr>
      <w:r w:rsidRPr="00221B02">
        <w:rPr>
          <w:rFonts w:ascii="Garamond" w:hAnsi="Garamond"/>
          <w:color w:val="0070C0"/>
          <w:sz w:val="32"/>
        </w:rPr>
        <w:lastRenderedPageBreak/>
        <w:t>Flujo neto de IED en Centroamérica, Panamá y República Dominicana</w:t>
      </w:r>
    </w:p>
    <w:p w:rsidR="00597F6F" w:rsidRDefault="00597F6F" w:rsidP="00597F6F">
      <w:pPr>
        <w:jc w:val="both"/>
        <w:rPr>
          <w:rFonts w:ascii="Garamond" w:hAnsi="Garamond"/>
          <w:sz w:val="24"/>
          <w:szCs w:val="24"/>
        </w:rPr>
      </w:pPr>
      <w:r w:rsidRPr="00221B02">
        <w:rPr>
          <w:rFonts w:ascii="Garamond" w:hAnsi="Garamond"/>
          <w:sz w:val="24"/>
          <w:szCs w:val="24"/>
        </w:rPr>
        <w:t xml:space="preserve">En 2024, el flujo neto de IED que ingresó a la Región integrada por Centroamérica, Panamá y República Dominicana totalizó 8,767.9 millones de dólares, teniendo como principales países receptores a Costa Rica (28.5%), República Dominicana (27.1%), Panamá (18.4%), Nicaragua (9.2%) y Guatemala (9.2%). El total de IED neta registrada en la región aumentó en 4.5 por ciento con respecto a 2023 (US$8,390.3 millones). </w:t>
      </w:r>
    </w:p>
    <w:p w:rsidR="00D272ED" w:rsidRDefault="00D272ED" w:rsidP="00597F6F">
      <w:pPr>
        <w:jc w:val="both"/>
        <w:rPr>
          <w:rFonts w:ascii="Garamond" w:hAnsi="Garamond"/>
          <w:sz w:val="24"/>
          <w:szCs w:val="24"/>
        </w:rPr>
      </w:pPr>
    </w:p>
    <w:p w:rsidR="00597F6F" w:rsidRDefault="00597F6F" w:rsidP="00597F6F">
      <w:pPr>
        <w:jc w:val="center"/>
      </w:pPr>
      <w:r w:rsidRPr="00597F6F">
        <w:rPr>
          <w:noProof/>
        </w:rPr>
        <w:drawing>
          <wp:inline distT="0" distB="0" distL="0" distR="0" wp14:anchorId="62C087A8" wp14:editId="2751701A">
            <wp:extent cx="3352800" cy="257955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140" r="11024" b="3146"/>
                    <a:stretch/>
                  </pic:blipFill>
                  <pic:spPr bwMode="auto">
                    <a:xfrm>
                      <a:off x="0" y="0"/>
                      <a:ext cx="3361419" cy="2586184"/>
                    </a:xfrm>
                    <a:prstGeom prst="rect">
                      <a:avLst/>
                    </a:prstGeom>
                    <a:noFill/>
                    <a:ln>
                      <a:noFill/>
                    </a:ln>
                    <a:extLst>
                      <a:ext uri="{53640926-AAD7-44D8-BBD7-CCE9431645EC}">
                        <a14:shadowObscured xmlns:a14="http://schemas.microsoft.com/office/drawing/2010/main"/>
                      </a:ext>
                    </a:extLst>
                  </pic:spPr>
                </pic:pic>
              </a:graphicData>
            </a:graphic>
          </wp:inline>
        </w:drawing>
      </w:r>
    </w:p>
    <w:p w:rsidR="00597F6F" w:rsidRDefault="00597F6F" w:rsidP="00597F6F"/>
    <w:p w:rsidR="00597F6F" w:rsidRDefault="00597F6F" w:rsidP="00597F6F"/>
    <w:p w:rsidR="00597F6F" w:rsidRDefault="00597F6F" w:rsidP="00597F6F"/>
    <w:p w:rsidR="00597F6F" w:rsidRDefault="00597F6F" w:rsidP="00597F6F"/>
    <w:p w:rsidR="00597F6F" w:rsidRDefault="00597F6F" w:rsidP="00597F6F"/>
    <w:p w:rsidR="00597F6F" w:rsidRDefault="00597F6F" w:rsidP="00597F6F"/>
    <w:p w:rsidR="00597F6F" w:rsidRDefault="00597F6F" w:rsidP="00597F6F"/>
    <w:p w:rsidR="00597F6F" w:rsidRDefault="00597F6F" w:rsidP="00597F6F"/>
    <w:p w:rsidR="00597F6F" w:rsidRDefault="00597F6F" w:rsidP="00597F6F"/>
    <w:p w:rsidR="00597F6F" w:rsidRDefault="00597F6F" w:rsidP="00597F6F"/>
    <w:p w:rsidR="00597F6F" w:rsidRDefault="00597F6F" w:rsidP="00597F6F"/>
    <w:p w:rsidR="00597F6F" w:rsidRDefault="00597F6F" w:rsidP="00597F6F"/>
    <w:p w:rsidR="00597F6F" w:rsidRDefault="00597F6F" w:rsidP="00597F6F"/>
    <w:p w:rsidR="00597F6F" w:rsidRDefault="00597F6F" w:rsidP="00597F6F"/>
    <w:p w:rsidR="00597F6F" w:rsidRPr="003966C9" w:rsidRDefault="00597F6F" w:rsidP="00597F6F">
      <w:pPr>
        <w:jc w:val="center"/>
        <w:rPr>
          <w:rFonts w:ascii="Garamond" w:hAnsi="Garamond"/>
          <w:b/>
          <w:color w:val="1F3864" w:themeColor="accent1" w:themeShade="80"/>
          <w:sz w:val="28"/>
          <w:szCs w:val="28"/>
          <w:lang w:val="es-MX"/>
        </w:rPr>
      </w:pPr>
      <w:bookmarkStart w:id="10" w:name="_Hlk179974236"/>
      <w:r w:rsidRPr="003966C9">
        <w:rPr>
          <w:rFonts w:ascii="Garamond" w:hAnsi="Garamond"/>
          <w:b/>
          <w:color w:val="1F3864" w:themeColor="accent1" w:themeShade="80"/>
          <w:sz w:val="28"/>
          <w:szCs w:val="28"/>
          <w:lang w:val="es-MX"/>
        </w:rPr>
        <w:lastRenderedPageBreak/>
        <w:t>ANEXO 1</w:t>
      </w:r>
    </w:p>
    <w:bookmarkEnd w:id="10"/>
    <w:p w:rsidR="00597F6F" w:rsidRDefault="006A75D5" w:rsidP="00597F6F">
      <w:pPr>
        <w:jc w:val="center"/>
      </w:pPr>
      <w:r w:rsidRPr="006A75D5">
        <w:rPr>
          <w:noProof/>
        </w:rPr>
        <w:drawing>
          <wp:inline distT="0" distB="0" distL="0" distR="0" wp14:anchorId="49A25962" wp14:editId="47531B2D">
            <wp:extent cx="3676492" cy="70556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6525" r="10111"/>
                    <a:stretch/>
                  </pic:blipFill>
                  <pic:spPr bwMode="auto">
                    <a:xfrm>
                      <a:off x="0" y="0"/>
                      <a:ext cx="3684606" cy="7071267"/>
                    </a:xfrm>
                    <a:prstGeom prst="rect">
                      <a:avLst/>
                    </a:prstGeom>
                    <a:noFill/>
                    <a:ln>
                      <a:noFill/>
                    </a:ln>
                    <a:extLst>
                      <a:ext uri="{53640926-AAD7-44D8-BBD7-CCE9431645EC}">
                        <a14:shadowObscured xmlns:a14="http://schemas.microsoft.com/office/drawing/2010/main"/>
                      </a:ext>
                    </a:extLst>
                  </pic:spPr>
                </pic:pic>
              </a:graphicData>
            </a:graphic>
          </wp:inline>
        </w:drawing>
      </w:r>
    </w:p>
    <w:p w:rsidR="00597F6F" w:rsidRDefault="00597F6F" w:rsidP="00597F6F"/>
    <w:p w:rsidR="00597F6F" w:rsidRDefault="00597F6F" w:rsidP="00597F6F"/>
    <w:p w:rsidR="00597F6F" w:rsidRDefault="00597F6F" w:rsidP="00597F6F">
      <w:pPr>
        <w:jc w:val="center"/>
        <w:rPr>
          <w:rFonts w:ascii="Garamond" w:hAnsi="Garamond"/>
          <w:b/>
          <w:color w:val="1F3864" w:themeColor="accent1" w:themeShade="80"/>
          <w:sz w:val="28"/>
          <w:szCs w:val="28"/>
          <w:lang w:val="es-MX"/>
        </w:rPr>
      </w:pPr>
    </w:p>
    <w:p w:rsidR="00597F6F" w:rsidRDefault="00597F6F" w:rsidP="00597F6F">
      <w:pPr>
        <w:jc w:val="center"/>
        <w:rPr>
          <w:rFonts w:ascii="Garamond" w:hAnsi="Garamond"/>
          <w:b/>
          <w:color w:val="1F3864" w:themeColor="accent1" w:themeShade="80"/>
          <w:sz w:val="28"/>
          <w:szCs w:val="28"/>
          <w:lang w:val="es-MX"/>
        </w:rPr>
      </w:pPr>
      <w:r w:rsidRPr="003966C9">
        <w:rPr>
          <w:rFonts w:ascii="Garamond" w:hAnsi="Garamond"/>
          <w:b/>
          <w:color w:val="1F3864" w:themeColor="accent1" w:themeShade="80"/>
          <w:sz w:val="28"/>
          <w:szCs w:val="28"/>
          <w:lang w:val="es-MX"/>
        </w:rPr>
        <w:t xml:space="preserve">ANEXO </w:t>
      </w:r>
      <w:r>
        <w:rPr>
          <w:rFonts w:ascii="Garamond" w:hAnsi="Garamond"/>
          <w:b/>
          <w:color w:val="1F3864" w:themeColor="accent1" w:themeShade="80"/>
          <w:sz w:val="28"/>
          <w:szCs w:val="28"/>
          <w:lang w:val="es-MX"/>
        </w:rPr>
        <w:t>2</w:t>
      </w:r>
    </w:p>
    <w:p w:rsidR="00597F6F" w:rsidRPr="003966C9" w:rsidRDefault="00C837B2" w:rsidP="0080398D">
      <w:pPr>
        <w:jc w:val="center"/>
        <w:rPr>
          <w:rFonts w:ascii="Garamond" w:hAnsi="Garamond"/>
          <w:b/>
          <w:color w:val="1F3864" w:themeColor="accent1" w:themeShade="80"/>
          <w:sz w:val="28"/>
          <w:szCs w:val="28"/>
          <w:lang w:val="es-MX"/>
        </w:rPr>
      </w:pPr>
      <w:r w:rsidRPr="00C837B2">
        <w:rPr>
          <w:noProof/>
        </w:rPr>
        <w:drawing>
          <wp:inline distT="0" distB="0" distL="0" distR="0">
            <wp:extent cx="5737860" cy="515937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006" r="5950" b="1672"/>
                    <a:stretch/>
                  </pic:blipFill>
                  <pic:spPr bwMode="auto">
                    <a:xfrm>
                      <a:off x="0" y="0"/>
                      <a:ext cx="5754561" cy="5174392"/>
                    </a:xfrm>
                    <a:prstGeom prst="rect">
                      <a:avLst/>
                    </a:prstGeom>
                    <a:noFill/>
                    <a:ln>
                      <a:noFill/>
                    </a:ln>
                    <a:extLst>
                      <a:ext uri="{53640926-AAD7-44D8-BBD7-CCE9431645EC}">
                        <a14:shadowObscured xmlns:a14="http://schemas.microsoft.com/office/drawing/2010/main"/>
                      </a:ext>
                    </a:extLst>
                  </pic:spPr>
                </pic:pic>
              </a:graphicData>
            </a:graphic>
          </wp:inline>
        </w:drawing>
      </w:r>
    </w:p>
    <w:p w:rsidR="00597F6F" w:rsidRDefault="00597F6F" w:rsidP="00597F6F"/>
    <w:p w:rsidR="00597F6F" w:rsidRDefault="00597F6F" w:rsidP="00597F6F"/>
    <w:p w:rsidR="00597F6F" w:rsidRDefault="00597F6F" w:rsidP="00597F6F"/>
    <w:p w:rsidR="00597F6F" w:rsidRDefault="00597F6F" w:rsidP="00597F6F"/>
    <w:p w:rsidR="00597F6F" w:rsidRDefault="00597F6F" w:rsidP="00597F6F"/>
    <w:p w:rsidR="00597F6F" w:rsidRDefault="00597F6F" w:rsidP="00597F6F"/>
    <w:p w:rsidR="00597F6F" w:rsidRDefault="00597F6F" w:rsidP="00597F6F"/>
    <w:p w:rsidR="00597F6F" w:rsidRDefault="00597F6F" w:rsidP="00597F6F"/>
    <w:p w:rsidR="00597F6F" w:rsidRDefault="00597F6F" w:rsidP="00597F6F"/>
    <w:p w:rsidR="00597F6F" w:rsidRDefault="00597F6F" w:rsidP="00597F6F">
      <w:pPr>
        <w:pStyle w:val="Subttulo"/>
        <w:jc w:val="left"/>
        <w:rPr>
          <w:rFonts w:ascii="Garamond" w:eastAsia="Times New Roman" w:hAnsi="Garamond" w:cs="Times New Roman"/>
          <w:b w:val="0"/>
          <w:iCs w:val="0"/>
          <w:smallCaps w:val="0"/>
          <w:color w:val="0070C0"/>
          <w:spacing w:val="0"/>
          <w:sz w:val="32"/>
          <w:lang w:val="es-MX"/>
        </w:rPr>
      </w:pPr>
      <w:r>
        <w:rPr>
          <w:rFonts w:ascii="Garamond" w:eastAsia="Times New Roman" w:hAnsi="Garamond" w:cs="Times New Roman"/>
          <w:b w:val="0"/>
          <w:iCs w:val="0"/>
          <w:smallCaps w:val="0"/>
          <w:color w:val="0070C0"/>
          <w:spacing w:val="0"/>
          <w:sz w:val="32"/>
          <w:lang w:val="es-MX"/>
        </w:rPr>
        <w:t>Glosario de términos</w:t>
      </w:r>
    </w:p>
    <w:p w:rsidR="00597F6F" w:rsidRPr="00D90FBB" w:rsidRDefault="00597F6F" w:rsidP="00597F6F">
      <w:pPr>
        <w:pStyle w:val="Subttulo"/>
        <w:jc w:val="left"/>
        <w:rPr>
          <w:rFonts w:ascii="Garamond" w:eastAsia="Times New Roman" w:hAnsi="Garamond" w:cs="Times New Roman"/>
          <w:b w:val="0"/>
          <w:iCs w:val="0"/>
          <w:smallCaps w:val="0"/>
          <w:color w:val="0070C0"/>
          <w:spacing w:val="0"/>
          <w:sz w:val="26"/>
          <w:szCs w:val="26"/>
          <w:lang w:val="es-MX"/>
        </w:rPr>
      </w:pPr>
      <w:r w:rsidRPr="0074246C">
        <w:rPr>
          <w:rFonts w:ascii="Garamond" w:eastAsia="Times New Roman" w:hAnsi="Garamond" w:cs="Times New Roman"/>
          <w:b w:val="0"/>
          <w:iCs w:val="0"/>
          <w:smallCaps w:val="0"/>
          <w:color w:val="0070C0"/>
          <w:spacing w:val="0"/>
          <w:sz w:val="32"/>
          <w:lang w:val="es-MX"/>
        </w:rPr>
        <w:t xml:space="preserve"> </w:t>
      </w:r>
    </w:p>
    <w:p w:rsidR="00597F6F" w:rsidRDefault="00597F6F" w:rsidP="00597F6F">
      <w:pPr>
        <w:pStyle w:val="Textonotapie"/>
        <w:jc w:val="both"/>
        <w:rPr>
          <w:rFonts w:ascii="Futura Lt BT" w:hAnsi="Futura Lt BT"/>
          <w:lang w:val="es-NI"/>
        </w:rPr>
      </w:pPr>
      <w:r w:rsidRPr="002B4F58">
        <w:rPr>
          <w:rFonts w:ascii="Garamond" w:hAnsi="Garamond"/>
          <w:b/>
          <w:sz w:val="26"/>
          <w:szCs w:val="26"/>
          <w:lang w:val="es-NI"/>
        </w:rPr>
        <w:t>Aportes de capital:</w:t>
      </w:r>
      <w:r w:rsidRPr="005C6038">
        <w:rPr>
          <w:rFonts w:ascii="Futura Lt BT" w:hAnsi="Futura Lt BT"/>
          <w:sz w:val="22"/>
          <w:lang w:val="es-NI"/>
        </w:rPr>
        <w:t xml:space="preserve"> </w:t>
      </w:r>
      <w:r w:rsidRPr="002B4F58">
        <w:rPr>
          <w:rFonts w:ascii="Garamond" w:eastAsiaTheme="minorHAnsi" w:hAnsi="Garamond" w:cstheme="minorBidi"/>
          <w:sz w:val="26"/>
          <w:szCs w:val="26"/>
          <w:lang w:val="es-NI"/>
        </w:rPr>
        <w:t>refleja la decisión del inversor no residente de ampliar capital en empresas residentes.</w:t>
      </w:r>
    </w:p>
    <w:p w:rsidR="00597F6F" w:rsidRDefault="00597F6F" w:rsidP="00597F6F">
      <w:pPr>
        <w:pStyle w:val="Textonotapie"/>
        <w:jc w:val="both"/>
        <w:rPr>
          <w:rFonts w:ascii="Garamond" w:hAnsi="Garamond"/>
          <w:b/>
          <w:sz w:val="26"/>
          <w:szCs w:val="26"/>
          <w:lang w:val="es-NI"/>
        </w:rPr>
      </w:pPr>
    </w:p>
    <w:p w:rsidR="00597F6F" w:rsidRDefault="00597F6F" w:rsidP="00597F6F">
      <w:pPr>
        <w:pStyle w:val="Textonotapie"/>
        <w:jc w:val="both"/>
        <w:rPr>
          <w:rFonts w:ascii="Futura Lt BT" w:hAnsi="Futura Lt BT"/>
          <w:lang w:val="es-NI"/>
        </w:rPr>
      </w:pPr>
      <w:r w:rsidRPr="002B4F58">
        <w:rPr>
          <w:rFonts w:ascii="Garamond" w:hAnsi="Garamond"/>
          <w:b/>
          <w:sz w:val="26"/>
          <w:szCs w:val="26"/>
          <w:lang w:val="es-NI"/>
        </w:rPr>
        <w:t>Reinversión de utilidades:</w:t>
      </w:r>
      <w:r w:rsidRPr="005C6038">
        <w:rPr>
          <w:rFonts w:ascii="Futura Lt BT" w:hAnsi="Futura Lt BT"/>
          <w:b/>
          <w:sz w:val="24"/>
          <w:lang w:val="es-NI"/>
        </w:rPr>
        <w:t xml:space="preserve"> </w:t>
      </w:r>
      <w:r w:rsidRPr="002B4F58">
        <w:rPr>
          <w:rFonts w:ascii="Garamond" w:eastAsiaTheme="minorHAnsi" w:hAnsi="Garamond" w:cstheme="minorBidi"/>
          <w:sz w:val="26"/>
          <w:szCs w:val="26"/>
          <w:lang w:val="es-NI"/>
        </w:rPr>
        <w:t>corresponde a las rentas generadas por la inversión que no han sido puestas a disposición de los socios, o deciden no retirarlas y prefieren capitalizarlas.</w:t>
      </w:r>
    </w:p>
    <w:p w:rsidR="00597F6F" w:rsidRPr="000659A3" w:rsidRDefault="00597F6F" w:rsidP="00597F6F">
      <w:pPr>
        <w:pStyle w:val="Textonotapie"/>
        <w:jc w:val="both"/>
        <w:rPr>
          <w:lang w:val="es-MX"/>
        </w:rPr>
      </w:pPr>
    </w:p>
    <w:p w:rsidR="00597F6F" w:rsidRDefault="00597F6F" w:rsidP="00597F6F">
      <w:pPr>
        <w:pStyle w:val="Textonotapie"/>
        <w:jc w:val="both"/>
        <w:rPr>
          <w:rFonts w:ascii="Futura Lt BT" w:hAnsi="Futura Lt BT"/>
          <w:lang w:val="es-NI"/>
        </w:rPr>
      </w:pPr>
      <w:r w:rsidRPr="002B4F58">
        <w:rPr>
          <w:rFonts w:ascii="Garamond" w:hAnsi="Garamond"/>
          <w:b/>
          <w:sz w:val="26"/>
          <w:szCs w:val="26"/>
          <w:lang w:val="es-NI"/>
        </w:rPr>
        <w:t>Instrumento de deuda:</w:t>
      </w:r>
      <w:r w:rsidRPr="00574D66">
        <w:rPr>
          <w:rFonts w:ascii="Futura Lt BT" w:hAnsi="Futura Lt BT"/>
          <w:lang w:val="es-NI"/>
        </w:rPr>
        <w:t xml:space="preserve"> </w:t>
      </w:r>
      <w:r w:rsidRPr="002B4F58">
        <w:rPr>
          <w:rFonts w:ascii="Garamond" w:eastAsiaTheme="minorHAnsi" w:hAnsi="Garamond" w:cstheme="minorBidi"/>
          <w:sz w:val="26"/>
          <w:szCs w:val="26"/>
          <w:lang w:val="es-NI"/>
        </w:rPr>
        <w:t>comprende los flujos transaccionales de deuda de inversión directa entre empresas afiliadas y sus socios.</w:t>
      </w:r>
    </w:p>
    <w:p w:rsidR="00597F6F" w:rsidRDefault="00597F6F" w:rsidP="00597F6F">
      <w:pPr>
        <w:pStyle w:val="Textonotapie"/>
        <w:jc w:val="both"/>
        <w:rPr>
          <w:lang w:val="es-MX"/>
        </w:rPr>
      </w:pPr>
    </w:p>
    <w:p w:rsidR="00597F6F" w:rsidRPr="00660380" w:rsidRDefault="00597F6F" w:rsidP="00597F6F">
      <w:pPr>
        <w:spacing w:after="0" w:line="240" w:lineRule="auto"/>
        <w:jc w:val="both"/>
        <w:rPr>
          <w:rFonts w:ascii="Futura Lt BT" w:hAnsi="Futura Lt BT"/>
          <w:sz w:val="20"/>
          <w:szCs w:val="20"/>
        </w:rPr>
      </w:pPr>
      <w:r w:rsidRPr="002B4F58">
        <w:rPr>
          <w:rFonts w:ascii="Garamond" w:hAnsi="Garamond"/>
          <w:b/>
          <w:sz w:val="26"/>
          <w:szCs w:val="26"/>
        </w:rPr>
        <w:t>Ingreso Brutos:</w:t>
      </w:r>
      <w:r>
        <w:rPr>
          <w:rFonts w:ascii="Futura Lt BT" w:eastAsia="Times New Roman" w:hAnsi="Futura Lt BT" w:cs="Calibri"/>
          <w:b/>
          <w:bCs/>
          <w:color w:val="000000"/>
          <w:lang w:eastAsia="es-NI"/>
        </w:rPr>
        <w:t xml:space="preserve"> </w:t>
      </w:r>
      <w:r w:rsidRPr="002B4F58">
        <w:rPr>
          <w:rFonts w:ascii="Garamond" w:hAnsi="Garamond"/>
          <w:sz w:val="26"/>
          <w:szCs w:val="26"/>
        </w:rPr>
        <w:t xml:space="preserve">Incluye Utilidades reinvertidas, aportes de capital y </w:t>
      </w:r>
      <w:r>
        <w:rPr>
          <w:rFonts w:ascii="Garamond" w:hAnsi="Garamond"/>
          <w:sz w:val="26"/>
          <w:szCs w:val="26"/>
        </w:rPr>
        <w:t xml:space="preserve">desembolsos por </w:t>
      </w:r>
      <w:r w:rsidRPr="002B4F58">
        <w:rPr>
          <w:rFonts w:ascii="Garamond" w:hAnsi="Garamond"/>
          <w:sz w:val="26"/>
          <w:szCs w:val="26"/>
        </w:rPr>
        <w:t>préstamos externos de empresas no financieras relacionadas.</w:t>
      </w:r>
    </w:p>
    <w:p w:rsidR="00597F6F" w:rsidRPr="005A0B9F" w:rsidRDefault="00597F6F" w:rsidP="00597F6F">
      <w:pPr>
        <w:jc w:val="center"/>
        <w:rPr>
          <w:rFonts w:ascii="Garamond" w:hAnsi="Garamond"/>
          <w:sz w:val="24"/>
          <w:lang w:val="es-MX"/>
        </w:rPr>
      </w:pPr>
    </w:p>
    <w:p w:rsidR="00597F6F" w:rsidRDefault="00597F6F" w:rsidP="00597F6F"/>
    <w:p w:rsidR="00597F6F" w:rsidRDefault="00597F6F" w:rsidP="00597F6F">
      <w:pPr>
        <w:jc w:val="center"/>
      </w:pPr>
    </w:p>
    <w:p w:rsidR="00597F6F" w:rsidRDefault="00597F6F" w:rsidP="00597F6F">
      <w:pPr>
        <w:jc w:val="center"/>
      </w:pPr>
    </w:p>
    <w:p w:rsidR="00597F6F" w:rsidRDefault="00597F6F" w:rsidP="00597F6F">
      <w:pPr>
        <w:jc w:val="center"/>
      </w:pPr>
    </w:p>
    <w:p w:rsidR="00597F6F" w:rsidRDefault="00597F6F" w:rsidP="00597F6F">
      <w:pPr>
        <w:jc w:val="center"/>
      </w:pPr>
    </w:p>
    <w:p w:rsidR="00597F6F" w:rsidRDefault="00597F6F" w:rsidP="00597F6F">
      <w:pPr>
        <w:jc w:val="center"/>
      </w:pPr>
    </w:p>
    <w:p w:rsidR="00597F6F" w:rsidRDefault="00597F6F" w:rsidP="00597F6F">
      <w:pPr>
        <w:jc w:val="center"/>
      </w:pPr>
    </w:p>
    <w:p w:rsidR="00597F6F" w:rsidRDefault="00597F6F" w:rsidP="00597F6F">
      <w:pPr>
        <w:jc w:val="center"/>
      </w:pPr>
    </w:p>
    <w:p w:rsidR="00597F6F" w:rsidRDefault="00597F6F" w:rsidP="00597F6F">
      <w:pPr>
        <w:jc w:val="center"/>
      </w:pPr>
    </w:p>
    <w:p w:rsidR="00597F6F" w:rsidRDefault="00597F6F" w:rsidP="00597F6F">
      <w:pPr>
        <w:jc w:val="center"/>
      </w:pPr>
    </w:p>
    <w:p w:rsidR="00597F6F" w:rsidRDefault="00597F6F" w:rsidP="00597F6F">
      <w:pPr>
        <w:jc w:val="center"/>
      </w:pPr>
    </w:p>
    <w:p w:rsidR="00597F6F" w:rsidRDefault="00597F6F" w:rsidP="00597F6F">
      <w:pPr>
        <w:jc w:val="center"/>
      </w:pPr>
    </w:p>
    <w:sectPr w:rsidR="00597F6F" w:rsidSect="00BA1441">
      <w:headerReference w:type="default" r:id="rId17"/>
      <w:footerReference w:type="default" r:id="rId18"/>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6F0B" w:rsidRDefault="00166F0B" w:rsidP="00915142">
      <w:pPr>
        <w:spacing w:after="0" w:line="240" w:lineRule="auto"/>
      </w:pPr>
      <w:r>
        <w:separator/>
      </w:r>
    </w:p>
  </w:endnote>
  <w:endnote w:type="continuationSeparator" w:id="0">
    <w:p w:rsidR="00166F0B" w:rsidRDefault="00166F0B" w:rsidP="00915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Md BT">
    <w:altName w:val="Century Gothic"/>
    <w:panose1 w:val="020B0602020204020303"/>
    <w:charset w:val="00"/>
    <w:family w:val="swiss"/>
    <w:pitch w:val="variable"/>
    <w:sig w:usb0="800000AF" w:usb1="1000204A"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441" w:rsidRDefault="00BA1441">
    <w:pPr>
      <w:pStyle w:val="Piedepgina"/>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rsidR="00001CB2" w:rsidRDefault="00001C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6F0B" w:rsidRDefault="00166F0B" w:rsidP="00915142">
      <w:pPr>
        <w:spacing w:after="0" w:line="240" w:lineRule="auto"/>
      </w:pPr>
      <w:r>
        <w:separator/>
      </w:r>
    </w:p>
  </w:footnote>
  <w:footnote w:type="continuationSeparator" w:id="0">
    <w:p w:rsidR="00166F0B" w:rsidRDefault="00166F0B" w:rsidP="00915142">
      <w:pPr>
        <w:spacing w:after="0" w:line="240" w:lineRule="auto"/>
      </w:pPr>
      <w:r>
        <w:continuationSeparator/>
      </w:r>
    </w:p>
  </w:footnote>
  <w:footnote w:id="1">
    <w:p w:rsidR="00597F6F" w:rsidRPr="00B8482D" w:rsidRDefault="00597F6F" w:rsidP="00597F6F">
      <w:pPr>
        <w:pStyle w:val="Textonotapie"/>
        <w:ind w:right="-801"/>
        <w:jc w:val="both"/>
        <w:rPr>
          <w:rFonts w:ascii="Garamond" w:hAnsi="Garamond"/>
          <w:sz w:val="22"/>
          <w:szCs w:val="22"/>
          <w:lang w:val="es-MX"/>
        </w:rPr>
      </w:pPr>
      <w:r w:rsidRPr="00B8482D">
        <w:rPr>
          <w:rStyle w:val="Refdenotaalpie"/>
          <w:rFonts w:ascii="Garamond" w:hAnsi="Garamond"/>
          <w:sz w:val="22"/>
          <w:szCs w:val="22"/>
        </w:rPr>
        <w:footnoteRef/>
      </w:r>
      <w:r w:rsidRPr="00B8482D">
        <w:rPr>
          <w:rFonts w:ascii="Garamond" w:hAnsi="Garamond"/>
          <w:sz w:val="22"/>
          <w:szCs w:val="22"/>
        </w:rPr>
        <w:t xml:space="preserve"> </w:t>
      </w:r>
      <w:r w:rsidRPr="00B8482D">
        <w:rPr>
          <w:rFonts w:ascii="Garamond" w:hAnsi="Garamond"/>
          <w:sz w:val="22"/>
          <w:szCs w:val="22"/>
          <w:lang w:val="es-NI"/>
        </w:rPr>
        <w:t xml:space="preserve">Este </w:t>
      </w:r>
      <w:r>
        <w:rPr>
          <w:rFonts w:ascii="Garamond" w:hAnsi="Garamond"/>
          <w:sz w:val="22"/>
          <w:szCs w:val="22"/>
          <w:lang w:val="es-NI"/>
        </w:rPr>
        <w:t>i</w:t>
      </w:r>
      <w:r w:rsidRPr="00B8482D">
        <w:rPr>
          <w:rFonts w:ascii="Garamond" w:hAnsi="Garamond"/>
          <w:sz w:val="22"/>
          <w:szCs w:val="22"/>
          <w:lang w:val="es-NI"/>
        </w:rPr>
        <w:t xml:space="preserve">nforme se ha elaborado con base a los resultados de la Encuesta Trimestral de Inversión Extranjera que consulta a </w:t>
      </w:r>
      <w:r>
        <w:rPr>
          <w:rFonts w:ascii="Garamond" w:hAnsi="Garamond"/>
          <w:sz w:val="22"/>
          <w:szCs w:val="22"/>
          <w:lang w:val="es-NI"/>
        </w:rPr>
        <w:t>350</w:t>
      </w:r>
      <w:r w:rsidRPr="00B8482D">
        <w:rPr>
          <w:rFonts w:ascii="Garamond" w:hAnsi="Garamond"/>
          <w:sz w:val="22"/>
          <w:szCs w:val="22"/>
          <w:lang w:val="es-NI"/>
        </w:rPr>
        <w:t xml:space="preserve"> empresas con participación de capital extranjero.</w:t>
      </w:r>
      <w:r w:rsidRPr="00107C3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2B3A" w:rsidRDefault="00A00DF7">
    <w:pPr>
      <w:pStyle w:val="Encabezado"/>
    </w:pPr>
    <w:r>
      <w:rPr>
        <w:noProof/>
        <w:lang w:eastAsia="es-NI"/>
      </w:rPr>
      <mc:AlternateContent>
        <mc:Choice Requires="wps">
          <w:drawing>
            <wp:anchor distT="0" distB="0" distL="114300" distR="114300" simplePos="0" relativeHeight="251659264" behindDoc="1" locked="0" layoutInCell="1" allowOverlap="1" wp14:anchorId="4CF73B11" wp14:editId="43A1C92D">
              <wp:simplePos x="0" y="0"/>
              <wp:positionH relativeFrom="column">
                <wp:posOffset>-1059964</wp:posOffset>
              </wp:positionH>
              <wp:positionV relativeFrom="paragraph">
                <wp:posOffset>-436134</wp:posOffset>
              </wp:positionV>
              <wp:extent cx="7915275" cy="874059"/>
              <wp:effectExtent l="0" t="0" r="9525" b="2540"/>
              <wp:wrapNone/>
              <wp:docPr id="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275" cy="874059"/>
                      </a:xfrm>
                      <a:prstGeom prst="rect">
                        <a:avLst/>
                      </a:prstGeom>
                      <a:gradFill>
                        <a:gsLst>
                          <a:gs pos="99000">
                            <a:srgbClr val="1F497D">
                              <a:lumMod val="84000"/>
                            </a:srgbClr>
                          </a:gs>
                          <a:gs pos="5000">
                            <a:srgbClr val="E0E0E0"/>
                          </a:gs>
                          <a:gs pos="0">
                            <a:srgbClr val="C0C0C0">
                              <a:gamma/>
                              <a:tint val="0"/>
                              <a:invGamma/>
                            </a:srgbClr>
                          </a:gs>
                          <a:gs pos="100000">
                            <a:srgbClr val="C0C0C0"/>
                          </a:gs>
                        </a:gsLst>
                        <a:lin ang="0" scaled="1"/>
                      </a:gradFill>
                      <a:ln>
                        <a:noFill/>
                      </a:ln>
                    </wps:spPr>
                    <wps:txbx>
                      <w:txbxContent>
                        <w:p w:rsidR="00A00DF7" w:rsidRDefault="00A00DF7" w:rsidP="00A00DF7">
                          <w:pPr>
                            <w:jc w:val="center"/>
                          </w:pPr>
                          <w:r>
                            <w:rPr>
                              <w:noProof/>
                            </w:rPr>
                            <w:drawing>
                              <wp:inline distT="0" distB="0" distL="0" distR="0" wp14:anchorId="4BE629CD" wp14:editId="57DE816D">
                                <wp:extent cx="3819525" cy="717550"/>
                                <wp:effectExtent l="0" t="0" r="0" b="0"/>
                                <wp:docPr id="17" name="Imagen 4" descr="C:\Users\mgarciau\AppData\Local\Microsoft\Windows\Temporary Internet Files\Content.Outlook\5LP77VMB\logo-bcn (2).png"/>
                                <wp:cNvGraphicFramePr/>
                                <a:graphic xmlns:a="http://schemas.openxmlformats.org/drawingml/2006/main">
                                  <a:graphicData uri="http://schemas.openxmlformats.org/drawingml/2006/picture">
                                    <pic:pic xmlns:pic="http://schemas.openxmlformats.org/drawingml/2006/picture">
                                      <pic:nvPicPr>
                                        <pic:cNvPr id="49" name="Imagen 4" descr="C:\Users\mgarciau\AppData\Local\Microsoft\Windows\Temporary Internet Files\Content.Outlook\5LP77VMB\logo-bcn (2).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9525"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73B11" id="Rectangle 1" o:spid="_x0000_s1028" style="position:absolute;margin-left:-83.45pt;margin-top:-34.35pt;width:623.25pt;height:6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" stroked="f">
              <v:fill color2="silver" angle="90" colors="0 white;3277f #e0e0e0;64881f #1a3d69;1 silver" focus="100%" type="gradient"/>
              <v:textbox>
                <w:txbxContent>
                  <w:p w:rsidR="00A00DF7" w:rsidRDefault="00A00DF7" w:rsidP="00A00DF7">
                    <w:pPr>
                      <w:jc w:val="center"/>
                    </w:pPr>
                    <w:r>
                      <w:rPr>
                        <w:noProof/>
                      </w:rPr>
                      <w:drawing>
                        <wp:inline distT="0" distB="0" distL="0" distR="0" wp14:anchorId="4BE629CD" wp14:editId="57DE816D">
                          <wp:extent cx="3819525" cy="717550"/>
                          <wp:effectExtent l="0" t="0" r="0" b="0"/>
                          <wp:docPr id="17" name="Imagen 4" descr="C:\Users\mgarciau\AppData\Local\Microsoft\Windows\Temporary Internet Files\Content.Outlook\5LP77VMB\logo-bcn (2).png"/>
                          <wp:cNvGraphicFramePr/>
                          <a:graphic xmlns:a="http://schemas.openxmlformats.org/drawingml/2006/main">
                            <a:graphicData uri="http://schemas.openxmlformats.org/drawingml/2006/picture">
                              <pic:pic xmlns:pic="http://schemas.openxmlformats.org/drawingml/2006/picture">
                                <pic:nvPicPr>
                                  <pic:cNvPr id="49" name="Imagen 4" descr="C:\Users\mgarciau\AppData\Local\Microsoft\Windows\Temporary Internet Files\Content.Outlook\5LP77VMB\logo-bcn (2).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9525" cy="717550"/>
                                  </a:xfrm>
                                  <a:prstGeom prst="rect">
                                    <a:avLst/>
                                  </a:prstGeom>
                                  <a:noFill/>
                                  <a:ln>
                                    <a:noFill/>
                                  </a:ln>
                                </pic:spPr>
                              </pic:pic>
                            </a:graphicData>
                          </a:graphic>
                        </wp:inline>
                      </w:drawing>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C7A57"/>
    <w:multiLevelType w:val="hybridMultilevel"/>
    <w:tmpl w:val="AAE2421A"/>
    <w:lvl w:ilvl="0" w:tplc="4C0A0013">
      <w:start w:val="1"/>
      <w:numFmt w:val="upperRoman"/>
      <w:lvlText w:val="%1."/>
      <w:lvlJc w:val="righ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15:restartNumberingAfterBreak="0">
    <w:nsid w:val="178E60A6"/>
    <w:multiLevelType w:val="hybridMultilevel"/>
    <w:tmpl w:val="E91A3EBE"/>
    <w:lvl w:ilvl="0" w:tplc="632A9ADC">
      <w:start w:val="1"/>
      <w:numFmt w:val="upperRoman"/>
      <w:lvlText w:val="%1."/>
      <w:lvlJc w:val="right"/>
      <w:pPr>
        <w:ind w:left="720" w:hanging="360"/>
      </w:pPr>
      <w:rPr>
        <w:color w:val="1F4E79" w:themeColor="accent5" w:themeShade="80"/>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15:restartNumberingAfterBreak="0">
    <w:nsid w:val="195E6590"/>
    <w:multiLevelType w:val="multilevel"/>
    <w:tmpl w:val="02A0F2F8"/>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96A217E"/>
    <w:multiLevelType w:val="hybridMultilevel"/>
    <w:tmpl w:val="A3EC0D64"/>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15:restartNumberingAfterBreak="0">
    <w:nsid w:val="1BC918EC"/>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 w15:restartNumberingAfterBreak="0">
    <w:nsid w:val="1DBE2640"/>
    <w:multiLevelType w:val="multilevel"/>
    <w:tmpl w:val="8C425C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F6750CE"/>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 w15:restartNumberingAfterBreak="0">
    <w:nsid w:val="3B600320"/>
    <w:multiLevelType w:val="multilevel"/>
    <w:tmpl w:val="215E578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2430D13"/>
    <w:multiLevelType w:val="hybridMultilevel"/>
    <w:tmpl w:val="A3EC0D64"/>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0"/>
  </w:num>
  <w:num w:numId="5">
    <w:abstractNumId w:val="4"/>
  </w:num>
  <w:num w:numId="6">
    <w:abstractNumId w:val="6"/>
  </w:num>
  <w:num w:numId="7">
    <w:abstractNumId w:val="1"/>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320"/>
    <w:rsid w:val="00001CB2"/>
    <w:rsid w:val="000055CD"/>
    <w:rsid w:val="0000786E"/>
    <w:rsid w:val="00027178"/>
    <w:rsid w:val="00045E56"/>
    <w:rsid w:val="00054320"/>
    <w:rsid w:val="00056346"/>
    <w:rsid w:val="000A2F90"/>
    <w:rsid w:val="000A38EF"/>
    <w:rsid w:val="000A40A4"/>
    <w:rsid w:val="000C5235"/>
    <w:rsid w:val="000C6A7C"/>
    <w:rsid w:val="000D3681"/>
    <w:rsid w:val="000E055D"/>
    <w:rsid w:val="000E7F69"/>
    <w:rsid w:val="000F40C2"/>
    <w:rsid w:val="0010564A"/>
    <w:rsid w:val="00106FED"/>
    <w:rsid w:val="001231FE"/>
    <w:rsid w:val="0012517C"/>
    <w:rsid w:val="00125AF2"/>
    <w:rsid w:val="00142CE0"/>
    <w:rsid w:val="0015035D"/>
    <w:rsid w:val="00156C8D"/>
    <w:rsid w:val="001605DF"/>
    <w:rsid w:val="0016072F"/>
    <w:rsid w:val="001614C7"/>
    <w:rsid w:val="00161C07"/>
    <w:rsid w:val="001634F3"/>
    <w:rsid w:val="00166F0B"/>
    <w:rsid w:val="00170A1D"/>
    <w:rsid w:val="00187800"/>
    <w:rsid w:val="0019394C"/>
    <w:rsid w:val="001A4DD4"/>
    <w:rsid w:val="001A5368"/>
    <w:rsid w:val="001B0EF2"/>
    <w:rsid w:val="001C3777"/>
    <w:rsid w:val="001C5A03"/>
    <w:rsid w:val="001D47DA"/>
    <w:rsid w:val="001E0ADE"/>
    <w:rsid w:val="001E4A08"/>
    <w:rsid w:val="001E767F"/>
    <w:rsid w:val="001F0EE7"/>
    <w:rsid w:val="001F49AC"/>
    <w:rsid w:val="001F6617"/>
    <w:rsid w:val="002123BE"/>
    <w:rsid w:val="0023104B"/>
    <w:rsid w:val="002367ED"/>
    <w:rsid w:val="00252217"/>
    <w:rsid w:val="00252615"/>
    <w:rsid w:val="00253845"/>
    <w:rsid w:val="002558D1"/>
    <w:rsid w:val="00256B8A"/>
    <w:rsid w:val="00270DD1"/>
    <w:rsid w:val="0027218C"/>
    <w:rsid w:val="00281F99"/>
    <w:rsid w:val="00284ED0"/>
    <w:rsid w:val="00293174"/>
    <w:rsid w:val="0029785B"/>
    <w:rsid w:val="002A177A"/>
    <w:rsid w:val="002A4E37"/>
    <w:rsid w:val="002A6747"/>
    <w:rsid w:val="002A7183"/>
    <w:rsid w:val="002C2F69"/>
    <w:rsid w:val="002C4088"/>
    <w:rsid w:val="002C695D"/>
    <w:rsid w:val="002D6791"/>
    <w:rsid w:val="002E2988"/>
    <w:rsid w:val="002E3E4D"/>
    <w:rsid w:val="00304406"/>
    <w:rsid w:val="00305A63"/>
    <w:rsid w:val="00316712"/>
    <w:rsid w:val="00321C76"/>
    <w:rsid w:val="00323B72"/>
    <w:rsid w:val="003440D3"/>
    <w:rsid w:val="00346898"/>
    <w:rsid w:val="00355D0E"/>
    <w:rsid w:val="00356EA3"/>
    <w:rsid w:val="0036174C"/>
    <w:rsid w:val="00372D95"/>
    <w:rsid w:val="0038081A"/>
    <w:rsid w:val="0039346F"/>
    <w:rsid w:val="0039573D"/>
    <w:rsid w:val="003B2937"/>
    <w:rsid w:val="003B4607"/>
    <w:rsid w:val="003B652F"/>
    <w:rsid w:val="003C736D"/>
    <w:rsid w:val="003D1716"/>
    <w:rsid w:val="003D4099"/>
    <w:rsid w:val="003F1B3F"/>
    <w:rsid w:val="003F7E84"/>
    <w:rsid w:val="004006EA"/>
    <w:rsid w:val="00406585"/>
    <w:rsid w:val="00410B04"/>
    <w:rsid w:val="004173EC"/>
    <w:rsid w:val="00435398"/>
    <w:rsid w:val="00437717"/>
    <w:rsid w:val="0044026C"/>
    <w:rsid w:val="0044228C"/>
    <w:rsid w:val="00442DAF"/>
    <w:rsid w:val="0045393B"/>
    <w:rsid w:val="0045424A"/>
    <w:rsid w:val="00470E9A"/>
    <w:rsid w:val="00471364"/>
    <w:rsid w:val="00476C57"/>
    <w:rsid w:val="004908B3"/>
    <w:rsid w:val="004945E2"/>
    <w:rsid w:val="004B5963"/>
    <w:rsid w:val="004B65B8"/>
    <w:rsid w:val="004C0180"/>
    <w:rsid w:val="004C1584"/>
    <w:rsid w:val="004C3A68"/>
    <w:rsid w:val="004C46FA"/>
    <w:rsid w:val="004D412C"/>
    <w:rsid w:val="004E4BC4"/>
    <w:rsid w:val="004F688E"/>
    <w:rsid w:val="00504773"/>
    <w:rsid w:val="00505ADE"/>
    <w:rsid w:val="00522493"/>
    <w:rsid w:val="005270D7"/>
    <w:rsid w:val="00531683"/>
    <w:rsid w:val="00531D83"/>
    <w:rsid w:val="005457D8"/>
    <w:rsid w:val="0055151F"/>
    <w:rsid w:val="005546E7"/>
    <w:rsid w:val="00565AC0"/>
    <w:rsid w:val="0056605C"/>
    <w:rsid w:val="00566733"/>
    <w:rsid w:val="0057251E"/>
    <w:rsid w:val="00593AF2"/>
    <w:rsid w:val="005977DB"/>
    <w:rsid w:val="00597F6F"/>
    <w:rsid w:val="005A7DD4"/>
    <w:rsid w:val="005B464C"/>
    <w:rsid w:val="005C555E"/>
    <w:rsid w:val="005D28B1"/>
    <w:rsid w:val="005E5389"/>
    <w:rsid w:val="005E7A18"/>
    <w:rsid w:val="005F5EF4"/>
    <w:rsid w:val="00610096"/>
    <w:rsid w:val="00613749"/>
    <w:rsid w:val="00644DC1"/>
    <w:rsid w:val="00645B6B"/>
    <w:rsid w:val="0065105A"/>
    <w:rsid w:val="006512D5"/>
    <w:rsid w:val="0065487C"/>
    <w:rsid w:val="006556DA"/>
    <w:rsid w:val="0066151D"/>
    <w:rsid w:val="00661818"/>
    <w:rsid w:val="0066575C"/>
    <w:rsid w:val="00672536"/>
    <w:rsid w:val="00672EE9"/>
    <w:rsid w:val="00673738"/>
    <w:rsid w:val="0068002E"/>
    <w:rsid w:val="00680776"/>
    <w:rsid w:val="0069121B"/>
    <w:rsid w:val="00692F4E"/>
    <w:rsid w:val="006A75D5"/>
    <w:rsid w:val="006B5410"/>
    <w:rsid w:val="006B6A5F"/>
    <w:rsid w:val="006D02E1"/>
    <w:rsid w:val="006D1AD8"/>
    <w:rsid w:val="006D46C5"/>
    <w:rsid w:val="006E2526"/>
    <w:rsid w:val="006E4641"/>
    <w:rsid w:val="006E52CF"/>
    <w:rsid w:val="006F0A41"/>
    <w:rsid w:val="006F78C4"/>
    <w:rsid w:val="00704DCF"/>
    <w:rsid w:val="00732F90"/>
    <w:rsid w:val="0073525F"/>
    <w:rsid w:val="007406B5"/>
    <w:rsid w:val="007545A3"/>
    <w:rsid w:val="00757B1A"/>
    <w:rsid w:val="00763D92"/>
    <w:rsid w:val="00770CA9"/>
    <w:rsid w:val="00795C5C"/>
    <w:rsid w:val="007A621B"/>
    <w:rsid w:val="007C28C1"/>
    <w:rsid w:val="007C6EC6"/>
    <w:rsid w:val="007D09CE"/>
    <w:rsid w:val="007E4B3F"/>
    <w:rsid w:val="007E5CFA"/>
    <w:rsid w:val="00800ED5"/>
    <w:rsid w:val="0080398D"/>
    <w:rsid w:val="00822A97"/>
    <w:rsid w:val="008266ED"/>
    <w:rsid w:val="00834E0A"/>
    <w:rsid w:val="008438C7"/>
    <w:rsid w:val="00855BD5"/>
    <w:rsid w:val="00860654"/>
    <w:rsid w:val="00870624"/>
    <w:rsid w:val="00872AA5"/>
    <w:rsid w:val="00876046"/>
    <w:rsid w:val="008A6874"/>
    <w:rsid w:val="008B71FE"/>
    <w:rsid w:val="008D1EB9"/>
    <w:rsid w:val="008D5CFA"/>
    <w:rsid w:val="008E207C"/>
    <w:rsid w:val="008E3440"/>
    <w:rsid w:val="008E76E2"/>
    <w:rsid w:val="008F7916"/>
    <w:rsid w:val="00905FA4"/>
    <w:rsid w:val="00915142"/>
    <w:rsid w:val="009205EB"/>
    <w:rsid w:val="009209A4"/>
    <w:rsid w:val="009271B7"/>
    <w:rsid w:val="00927549"/>
    <w:rsid w:val="009316EC"/>
    <w:rsid w:val="0093269A"/>
    <w:rsid w:val="009347BC"/>
    <w:rsid w:val="00944D9C"/>
    <w:rsid w:val="00956B3F"/>
    <w:rsid w:val="00957AF7"/>
    <w:rsid w:val="00972766"/>
    <w:rsid w:val="00973109"/>
    <w:rsid w:val="009919AE"/>
    <w:rsid w:val="00995D46"/>
    <w:rsid w:val="009A3DA1"/>
    <w:rsid w:val="009B24E2"/>
    <w:rsid w:val="00A00DF7"/>
    <w:rsid w:val="00A067F3"/>
    <w:rsid w:val="00A20652"/>
    <w:rsid w:val="00A269FC"/>
    <w:rsid w:val="00A2725D"/>
    <w:rsid w:val="00A44A75"/>
    <w:rsid w:val="00A51412"/>
    <w:rsid w:val="00A54A54"/>
    <w:rsid w:val="00A558DC"/>
    <w:rsid w:val="00A60407"/>
    <w:rsid w:val="00A6040D"/>
    <w:rsid w:val="00A70B35"/>
    <w:rsid w:val="00A7214F"/>
    <w:rsid w:val="00A7716F"/>
    <w:rsid w:val="00A91BC3"/>
    <w:rsid w:val="00A9250D"/>
    <w:rsid w:val="00AA0913"/>
    <w:rsid w:val="00AA2620"/>
    <w:rsid w:val="00AC4756"/>
    <w:rsid w:val="00AD5366"/>
    <w:rsid w:val="00AE1490"/>
    <w:rsid w:val="00AE1766"/>
    <w:rsid w:val="00AE569F"/>
    <w:rsid w:val="00AE5E87"/>
    <w:rsid w:val="00AF25DA"/>
    <w:rsid w:val="00AF3746"/>
    <w:rsid w:val="00B02BEF"/>
    <w:rsid w:val="00B130E0"/>
    <w:rsid w:val="00B1315C"/>
    <w:rsid w:val="00B21C3C"/>
    <w:rsid w:val="00B2215C"/>
    <w:rsid w:val="00B259A2"/>
    <w:rsid w:val="00B63311"/>
    <w:rsid w:val="00B63D26"/>
    <w:rsid w:val="00B674BF"/>
    <w:rsid w:val="00B70565"/>
    <w:rsid w:val="00B801BB"/>
    <w:rsid w:val="00B81A7A"/>
    <w:rsid w:val="00B91043"/>
    <w:rsid w:val="00B92CEB"/>
    <w:rsid w:val="00BA0516"/>
    <w:rsid w:val="00BA091B"/>
    <w:rsid w:val="00BA1441"/>
    <w:rsid w:val="00BA416B"/>
    <w:rsid w:val="00BB0F4B"/>
    <w:rsid w:val="00BB125C"/>
    <w:rsid w:val="00BB3770"/>
    <w:rsid w:val="00BB5616"/>
    <w:rsid w:val="00BC38F3"/>
    <w:rsid w:val="00BE43E7"/>
    <w:rsid w:val="00BF415D"/>
    <w:rsid w:val="00C02A35"/>
    <w:rsid w:val="00C16502"/>
    <w:rsid w:val="00C1763A"/>
    <w:rsid w:val="00C2133B"/>
    <w:rsid w:val="00C37BA1"/>
    <w:rsid w:val="00C55336"/>
    <w:rsid w:val="00C64D05"/>
    <w:rsid w:val="00C65ACF"/>
    <w:rsid w:val="00C70B0E"/>
    <w:rsid w:val="00C77CBC"/>
    <w:rsid w:val="00C837B2"/>
    <w:rsid w:val="00C85B1A"/>
    <w:rsid w:val="00C966C2"/>
    <w:rsid w:val="00CB112F"/>
    <w:rsid w:val="00CB7222"/>
    <w:rsid w:val="00CC0AA3"/>
    <w:rsid w:val="00CD15C4"/>
    <w:rsid w:val="00CD4FB8"/>
    <w:rsid w:val="00CE1261"/>
    <w:rsid w:val="00D02B3A"/>
    <w:rsid w:val="00D04412"/>
    <w:rsid w:val="00D12211"/>
    <w:rsid w:val="00D16264"/>
    <w:rsid w:val="00D164AC"/>
    <w:rsid w:val="00D2159D"/>
    <w:rsid w:val="00D22147"/>
    <w:rsid w:val="00D272ED"/>
    <w:rsid w:val="00D40896"/>
    <w:rsid w:val="00D43FD7"/>
    <w:rsid w:val="00D4525D"/>
    <w:rsid w:val="00D45F57"/>
    <w:rsid w:val="00D516F8"/>
    <w:rsid w:val="00D528AA"/>
    <w:rsid w:val="00D6131A"/>
    <w:rsid w:val="00D6185D"/>
    <w:rsid w:val="00D70DD8"/>
    <w:rsid w:val="00D830E2"/>
    <w:rsid w:val="00D965C9"/>
    <w:rsid w:val="00D96816"/>
    <w:rsid w:val="00DA27D7"/>
    <w:rsid w:val="00DC1F90"/>
    <w:rsid w:val="00DC4AEE"/>
    <w:rsid w:val="00DC7D6F"/>
    <w:rsid w:val="00DE49DE"/>
    <w:rsid w:val="00DF6D4D"/>
    <w:rsid w:val="00E17B57"/>
    <w:rsid w:val="00E24432"/>
    <w:rsid w:val="00E44C79"/>
    <w:rsid w:val="00E45424"/>
    <w:rsid w:val="00E53F29"/>
    <w:rsid w:val="00E83EF0"/>
    <w:rsid w:val="00E92838"/>
    <w:rsid w:val="00E93A00"/>
    <w:rsid w:val="00EC5F77"/>
    <w:rsid w:val="00EC631F"/>
    <w:rsid w:val="00EC7770"/>
    <w:rsid w:val="00ED5AC1"/>
    <w:rsid w:val="00F206EE"/>
    <w:rsid w:val="00F2754C"/>
    <w:rsid w:val="00F27776"/>
    <w:rsid w:val="00F31F85"/>
    <w:rsid w:val="00F425F8"/>
    <w:rsid w:val="00FA1E84"/>
    <w:rsid w:val="00FA3CD1"/>
    <w:rsid w:val="00FB76C9"/>
    <w:rsid w:val="00FC18CB"/>
    <w:rsid w:val="00FE03D3"/>
    <w:rsid w:val="00FF52E2"/>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D4950"/>
  <w15:chartTrackingRefBased/>
  <w15:docId w15:val="{7A69A1B9-A9E8-4EFE-9CF0-AB89D3B41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A6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ar"/>
    <w:uiPriority w:val="9"/>
    <w:unhideWhenUsed/>
    <w:qFormat/>
    <w:rsid w:val="00054320"/>
    <w:pPr>
      <w:keepNext/>
      <w:spacing w:after="0" w:line="480" w:lineRule="auto"/>
      <w:ind w:left="-4819"/>
      <w:jc w:val="center"/>
      <w:outlineLvl w:val="5"/>
    </w:pPr>
    <w:rPr>
      <w:rFonts w:ascii="Futura Md BT" w:eastAsia="Times New Roman" w:hAnsi="Futura Md BT" w:cs="Times New Roman"/>
      <w:b/>
      <w:color w:val="2F5496" w:themeColor="accent1" w:themeShade="BF"/>
      <w:sz w:val="48"/>
      <w:szCs w:val="4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054320"/>
    <w:rPr>
      <w:rFonts w:ascii="Futura Md BT" w:eastAsia="Times New Roman" w:hAnsi="Futura Md BT" w:cs="Times New Roman"/>
      <w:b/>
      <w:color w:val="2F5496" w:themeColor="accent1" w:themeShade="BF"/>
      <w:sz w:val="48"/>
      <w:szCs w:val="48"/>
      <w:lang w:val="es-MX" w:eastAsia="es-ES"/>
    </w:rPr>
  </w:style>
  <w:style w:type="paragraph" w:styleId="NormalWeb">
    <w:name w:val="Normal (Web)"/>
    <w:basedOn w:val="Normal"/>
    <w:uiPriority w:val="99"/>
    <w:unhideWhenUsed/>
    <w:rsid w:val="002A6747"/>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styleId="Piedepgina">
    <w:name w:val="footer"/>
    <w:basedOn w:val="Normal"/>
    <w:link w:val="PiedepginaCar"/>
    <w:uiPriority w:val="99"/>
    <w:unhideWhenUsed/>
    <w:rsid w:val="002A674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A6747"/>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A674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A6747"/>
    <w:pPr>
      <w:outlineLvl w:val="9"/>
    </w:pPr>
    <w:rPr>
      <w:lang w:eastAsia="es-NI"/>
    </w:rPr>
  </w:style>
  <w:style w:type="paragraph" w:styleId="TDC1">
    <w:name w:val="toc 1"/>
    <w:basedOn w:val="Normal"/>
    <w:next w:val="Normal"/>
    <w:autoRedefine/>
    <w:uiPriority w:val="39"/>
    <w:unhideWhenUsed/>
    <w:rsid w:val="002A6747"/>
    <w:pPr>
      <w:spacing w:after="10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A6747"/>
    <w:rPr>
      <w:color w:val="0563C1" w:themeColor="hyperlink"/>
      <w:u w:val="single"/>
    </w:rPr>
  </w:style>
  <w:style w:type="paragraph" w:customStyle="1" w:styleId="Estilo2">
    <w:name w:val="Estilo2"/>
    <w:basedOn w:val="Ttulo1"/>
    <w:link w:val="Estilo2Car"/>
    <w:qFormat/>
    <w:rsid w:val="00125AF2"/>
    <w:pPr>
      <w:keepLines w:val="0"/>
      <w:spacing w:before="0" w:line="240" w:lineRule="auto"/>
      <w:jc w:val="center"/>
    </w:pPr>
    <w:rPr>
      <w:rFonts w:ascii="Futura Md BT" w:eastAsia="MS Mincho" w:hAnsi="Futura Md BT" w:cs="Arial"/>
      <w:b/>
      <w:bCs/>
      <w:color w:val="004B85"/>
      <w:kern w:val="32"/>
      <w:sz w:val="28"/>
      <w:szCs w:val="28"/>
      <w:lang w:val="es-ES" w:eastAsia="es-ES"/>
    </w:rPr>
  </w:style>
  <w:style w:type="character" w:customStyle="1" w:styleId="Estilo2Car">
    <w:name w:val="Estilo2 Car"/>
    <w:basedOn w:val="Fuentedeprrafopredeter"/>
    <w:link w:val="Estilo2"/>
    <w:rsid w:val="00125AF2"/>
    <w:rPr>
      <w:rFonts w:ascii="Futura Md BT" w:eastAsia="MS Mincho" w:hAnsi="Futura Md BT" w:cs="Arial"/>
      <w:b/>
      <w:bCs/>
      <w:color w:val="004B85"/>
      <w:kern w:val="32"/>
      <w:sz w:val="28"/>
      <w:szCs w:val="28"/>
      <w:lang w:val="es-ES" w:eastAsia="es-ES"/>
    </w:rPr>
  </w:style>
  <w:style w:type="character" w:styleId="Textoennegrita">
    <w:name w:val="Strong"/>
    <w:basedOn w:val="Fuentedeprrafopredeter"/>
    <w:uiPriority w:val="22"/>
    <w:qFormat/>
    <w:rsid w:val="00125AF2"/>
    <w:rPr>
      <w:b/>
      <w:bCs/>
    </w:rPr>
  </w:style>
  <w:style w:type="paragraph" w:styleId="Textonotapie">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TextonotapieCar"/>
    <w:uiPriority w:val="99"/>
    <w:unhideWhenUsed/>
    <w:qFormat/>
    <w:rsid w:val="0091514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single space Car,footnote text Car,fn Car,Footnote Text Char Car Car Car Car Car Car Car Car Car Car Car Car Car Car Car Car Car Car Car Car Car Car Car Car Car Car Car Car Car Car Car Car Car Car Car Car Car Car Car Car Car,Char Car"/>
    <w:basedOn w:val="Fuentedeprrafopredeter"/>
    <w:link w:val="Textonotapie"/>
    <w:uiPriority w:val="99"/>
    <w:qFormat/>
    <w:rsid w:val="009151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nhideWhenUsed/>
    <w:qFormat/>
    <w:rsid w:val="00915142"/>
    <w:rPr>
      <w:vertAlign w:val="superscript"/>
    </w:rPr>
  </w:style>
  <w:style w:type="table" w:styleId="Tablaconcuadrcula">
    <w:name w:val="Table Grid"/>
    <w:basedOn w:val="Tablanormal"/>
    <w:uiPriority w:val="39"/>
    <w:rsid w:val="00915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02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2B3A"/>
  </w:style>
  <w:style w:type="paragraph" w:styleId="Prrafodelista">
    <w:name w:val="List Paragraph"/>
    <w:basedOn w:val="Normal"/>
    <w:uiPriority w:val="34"/>
    <w:qFormat/>
    <w:rsid w:val="0069121B"/>
    <w:pPr>
      <w:ind w:left="720"/>
      <w:contextualSpacing/>
    </w:pPr>
  </w:style>
  <w:style w:type="paragraph" w:styleId="Subttulo">
    <w:name w:val="Subtitle"/>
    <w:aliases w:val="Tít"/>
    <w:basedOn w:val="Normal"/>
    <w:next w:val="Normal"/>
    <w:link w:val="SubttuloCar"/>
    <w:qFormat/>
    <w:rsid w:val="00597F6F"/>
    <w:pPr>
      <w:numPr>
        <w:ilvl w:val="1"/>
      </w:numPr>
      <w:spacing w:after="0" w:line="240" w:lineRule="auto"/>
      <w:jc w:val="center"/>
    </w:pPr>
    <w:rPr>
      <w:rFonts w:ascii="Futura Lt BT" w:eastAsiaTheme="majorEastAsia" w:hAnsi="Futura Lt BT" w:cstheme="majorBidi"/>
      <w:b/>
      <w:iCs/>
      <w:smallCaps/>
      <w:color w:val="44546A" w:themeColor="text2"/>
      <w:spacing w:val="15"/>
      <w:sz w:val="28"/>
      <w:szCs w:val="24"/>
      <w:lang w:val="es-ES" w:eastAsia="es-ES"/>
    </w:rPr>
  </w:style>
  <w:style w:type="character" w:customStyle="1" w:styleId="SubttuloCar">
    <w:name w:val="Subtítulo Car"/>
    <w:aliases w:val="Tít Car"/>
    <w:basedOn w:val="Fuentedeprrafopredeter"/>
    <w:link w:val="Subttulo"/>
    <w:rsid w:val="00597F6F"/>
    <w:rPr>
      <w:rFonts w:ascii="Futura Lt BT" w:eastAsiaTheme="majorEastAsia" w:hAnsi="Futura Lt BT" w:cstheme="majorBidi"/>
      <w:b/>
      <w:iCs/>
      <w:smallCaps/>
      <w:color w:val="44546A" w:themeColor="text2"/>
      <w:spacing w:val="15"/>
      <w:sz w:val="28"/>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36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F3477-A27B-4971-8C11-12670B3EB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952</Words>
  <Characters>5238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Aráuz Angulo, Elisa Javiera</dc:creator>
  <cp:keywords/>
  <dc:description/>
  <cp:lastModifiedBy>Aguilar Méndez, Miguel Antonio</cp:lastModifiedBy>
  <cp:revision>2</cp:revision>
  <cp:lastPrinted>2023-11-08T16:53:00Z</cp:lastPrinted>
  <dcterms:created xsi:type="dcterms:W3CDTF">2024-10-18T18:30:00Z</dcterms:created>
  <dcterms:modified xsi:type="dcterms:W3CDTF">2024-10-18T18:30:00Z</dcterms:modified>
</cp:coreProperties>
</file>