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57F" w:rsidRDefault="004768A7" w:rsidP="00054320">
      <w:pPr>
        <w:jc w:val="center"/>
      </w:pPr>
      <w:r>
        <w:t>|</w:t>
      </w:r>
    </w:p>
    <w:p w:rsidR="007E5CFA" w:rsidRDefault="00EE444E" w:rsidP="00054320">
      <w:pPr>
        <w:jc w:val="center"/>
      </w:pPr>
      <w:r>
        <w:rPr>
          <w:noProof/>
          <w:sz w:val="40"/>
          <w:szCs w:val="40"/>
          <w:lang w:eastAsia="es-NI"/>
        </w:rPr>
        <w:drawing>
          <wp:anchor distT="0" distB="0" distL="114300" distR="114300" simplePos="0" relativeHeight="251728896" behindDoc="1" locked="0" layoutInCell="1" allowOverlap="1" wp14:anchorId="383AEB25" wp14:editId="475BB1B3">
            <wp:simplePos x="0" y="0"/>
            <wp:positionH relativeFrom="page">
              <wp:align>left</wp:align>
            </wp:positionH>
            <wp:positionV relativeFrom="paragraph">
              <wp:posOffset>-1059815</wp:posOffset>
            </wp:positionV>
            <wp:extent cx="7762875" cy="10052162"/>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_propuesta1.png"/>
                    <pic:cNvPicPr/>
                  </pic:nvPicPr>
                  <pic:blipFill>
                    <a:blip r:embed="rId8">
                      <a:extLst>
                        <a:ext uri="{28A0092B-C50C-407E-A947-70E740481C1C}">
                          <a14:useLocalDpi xmlns:a14="http://schemas.microsoft.com/office/drawing/2010/main" val="0"/>
                        </a:ext>
                      </a:extLst>
                    </a:blip>
                    <a:stretch>
                      <a:fillRect/>
                    </a:stretch>
                  </pic:blipFill>
                  <pic:spPr>
                    <a:xfrm>
                      <a:off x="0" y="0"/>
                      <a:ext cx="7762875" cy="10052162"/>
                    </a:xfrm>
                    <a:prstGeom prst="rect">
                      <a:avLst/>
                    </a:prstGeom>
                  </pic:spPr>
                </pic:pic>
              </a:graphicData>
            </a:graphic>
            <wp14:sizeRelH relativeFrom="page">
              <wp14:pctWidth>0</wp14:pctWidth>
            </wp14:sizeRelH>
            <wp14:sizeRelV relativeFrom="page">
              <wp14:pctHeight>0</wp14:pctHeight>
            </wp14:sizeRelV>
          </wp:anchor>
        </w:drawing>
      </w:r>
    </w:p>
    <w:p w:rsidR="00054320" w:rsidRDefault="00054320" w:rsidP="00054320">
      <w:pPr>
        <w:jc w:val="center"/>
      </w:pPr>
    </w:p>
    <w:p w:rsidR="00054320" w:rsidRDefault="00054320" w:rsidP="00054320">
      <w:pPr>
        <w:jc w:val="center"/>
      </w:pPr>
    </w:p>
    <w:p w:rsidR="00054320" w:rsidRDefault="00A30EEF">
      <w:r w:rsidRPr="00EE444E">
        <w:rPr>
          <w:rFonts w:ascii="Calibri" w:eastAsia="Calibri" w:hAnsi="Calibri" w:cs="Times New Roman"/>
          <w:noProof/>
          <w:sz w:val="16"/>
        </w:rPr>
        <mc:AlternateContent>
          <mc:Choice Requires="wps">
            <w:drawing>
              <wp:anchor distT="0" distB="0" distL="114300" distR="114300" simplePos="0" relativeHeight="251732992" behindDoc="0" locked="0" layoutInCell="1" allowOverlap="1" wp14:anchorId="5F54BADD" wp14:editId="50918CF9">
                <wp:simplePos x="0" y="0"/>
                <wp:positionH relativeFrom="margin">
                  <wp:align>left</wp:align>
                </wp:positionH>
                <wp:positionV relativeFrom="paragraph">
                  <wp:posOffset>6130925</wp:posOffset>
                </wp:positionV>
                <wp:extent cx="1828368" cy="523875"/>
                <wp:effectExtent l="0" t="0" r="0" b="0"/>
                <wp:wrapNone/>
                <wp:docPr id="4" name="Rectángulo 4"/>
                <wp:cNvGraphicFramePr/>
                <a:graphic xmlns:a="http://schemas.openxmlformats.org/drawingml/2006/main">
                  <a:graphicData uri="http://schemas.microsoft.com/office/word/2010/wordprocessingShape">
                    <wps:wsp>
                      <wps:cNvSpPr/>
                      <wps:spPr>
                        <a:xfrm>
                          <a:off x="0" y="0"/>
                          <a:ext cx="1828368" cy="523875"/>
                        </a:xfrm>
                        <a:prstGeom prst="rect">
                          <a:avLst/>
                        </a:prstGeom>
                        <a:noFill/>
                        <a:ln w="12700" cap="flat" cmpd="sng" algn="ctr">
                          <a:noFill/>
                          <a:prstDash val="solid"/>
                          <a:miter lim="800000"/>
                        </a:ln>
                        <a:effectLst/>
                      </wps:spPr>
                      <wps:txbx>
                        <w:txbxContent>
                          <w:p w:rsidR="00EE444E" w:rsidRPr="00EE444E" w:rsidRDefault="001426FD" w:rsidP="00A30EEF">
                            <w:pPr>
                              <w:rPr>
                                <w:rFonts w:ascii="Garamond" w:hAnsi="Garamond"/>
                                <w:color w:val="2E74B5"/>
                                <w:sz w:val="40"/>
                                <w:szCs w:val="40"/>
                              </w:rPr>
                            </w:pPr>
                            <w:r>
                              <w:rPr>
                                <w:rFonts w:ascii="Garamond" w:hAnsi="Garamond"/>
                                <w:color w:val="2E74B5"/>
                                <w:sz w:val="40"/>
                                <w:szCs w:val="40"/>
                              </w:rPr>
                              <w:t>Octubre</w:t>
                            </w:r>
                            <w:r w:rsidR="00EE444E" w:rsidRPr="00EE444E">
                              <w:rPr>
                                <w:rFonts w:ascii="Garamond" w:hAnsi="Garamond"/>
                                <w:color w:val="2E74B5"/>
                                <w:sz w:val="40"/>
                                <w:szCs w:val="40"/>
                              </w:rPr>
                              <w:t xml:space="preserve"> 202</w:t>
                            </w:r>
                            <w:r w:rsidR="000633F5">
                              <w:rPr>
                                <w:rFonts w:ascii="Garamond" w:hAnsi="Garamond"/>
                                <w:color w:val="2E74B5"/>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4BADD" id="Rectángulo 4" o:spid="_x0000_s1026" style="position:absolute;margin-left:0;margin-top:482.75pt;width:143.95pt;height:41.2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" filled="f" stroked="f" strokeweight="1pt">
                <v:textbox>
                  <w:txbxContent>
                    <w:p w:rsidR="00EE444E" w:rsidRPr="00EE444E" w:rsidRDefault="001426FD" w:rsidP="00A30EEF">
                      <w:pPr>
                        <w:rPr>
                          <w:rFonts w:ascii="Garamond" w:hAnsi="Garamond"/>
                          <w:color w:val="2E74B5"/>
                          <w:sz w:val="40"/>
                          <w:szCs w:val="40"/>
                        </w:rPr>
                      </w:pPr>
                      <w:r>
                        <w:rPr>
                          <w:rFonts w:ascii="Garamond" w:hAnsi="Garamond"/>
                          <w:color w:val="2E74B5"/>
                          <w:sz w:val="40"/>
                          <w:szCs w:val="40"/>
                        </w:rPr>
                        <w:t>Octubre</w:t>
                      </w:r>
                      <w:r w:rsidR="00EE444E" w:rsidRPr="00EE444E">
                        <w:rPr>
                          <w:rFonts w:ascii="Garamond" w:hAnsi="Garamond"/>
                          <w:color w:val="2E74B5"/>
                          <w:sz w:val="40"/>
                          <w:szCs w:val="40"/>
                        </w:rPr>
                        <w:t xml:space="preserve"> 202</w:t>
                      </w:r>
                      <w:r w:rsidR="000633F5">
                        <w:rPr>
                          <w:rFonts w:ascii="Garamond" w:hAnsi="Garamond"/>
                          <w:color w:val="2E74B5"/>
                          <w:sz w:val="40"/>
                          <w:szCs w:val="40"/>
                        </w:rPr>
                        <w:t>4</w:t>
                      </w:r>
                    </w:p>
                  </w:txbxContent>
                </v:textbox>
                <w10:wrap anchorx="margin"/>
              </v:rect>
            </w:pict>
          </mc:Fallback>
        </mc:AlternateContent>
      </w:r>
      <w:r w:rsidR="00EE444E">
        <w:rPr>
          <w:noProof/>
          <w:sz w:val="16"/>
        </w:rPr>
        <mc:AlternateContent>
          <mc:Choice Requires="wps">
            <w:drawing>
              <wp:anchor distT="0" distB="0" distL="114300" distR="114300" simplePos="0" relativeHeight="251730944" behindDoc="0" locked="0" layoutInCell="1" allowOverlap="1" wp14:anchorId="7AD9FA61" wp14:editId="176757D9">
                <wp:simplePos x="0" y="0"/>
                <wp:positionH relativeFrom="margin">
                  <wp:align>left</wp:align>
                </wp:positionH>
                <wp:positionV relativeFrom="paragraph">
                  <wp:posOffset>2054225</wp:posOffset>
                </wp:positionV>
                <wp:extent cx="3552825" cy="1933575"/>
                <wp:effectExtent l="0" t="0" r="0" b="0"/>
                <wp:wrapNone/>
                <wp:docPr id="2" name="Rectángulo 2"/>
                <wp:cNvGraphicFramePr/>
                <a:graphic xmlns:a="http://schemas.openxmlformats.org/drawingml/2006/main">
                  <a:graphicData uri="http://schemas.microsoft.com/office/word/2010/wordprocessingShape">
                    <wps:wsp>
                      <wps:cNvSpPr/>
                      <wps:spPr>
                        <a:xfrm>
                          <a:off x="0" y="0"/>
                          <a:ext cx="3552825" cy="1933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0EEF"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 xml:space="preserve">Resultados </w:t>
                            </w:r>
                          </w:p>
                          <w:p w:rsidR="007F352D" w:rsidRPr="007F352D"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de la Balanza de Pagos</w:t>
                            </w:r>
                          </w:p>
                          <w:p w:rsidR="00EE444E" w:rsidRPr="00897288" w:rsidRDefault="00EE444E" w:rsidP="00A30EEF">
                            <w:pPr>
                              <w:rPr>
                                <w:rFonts w:ascii="Garamond" w:hAnsi="Garamond"/>
                                <w:color w:val="000000" w:themeColor="text1"/>
                                <w:sz w:val="60"/>
                                <w:szCs w:val="60"/>
                              </w:rPr>
                            </w:pPr>
                            <w:r w:rsidRPr="00B14BAC">
                              <w:rPr>
                                <w:rFonts w:ascii="Garamond" w:hAnsi="Garamond"/>
                                <w:color w:val="2F5496" w:themeColor="accent1" w:themeShade="BF"/>
                                <w:sz w:val="60"/>
                                <w:szCs w:val="60"/>
                              </w:rPr>
                              <w:t>I</w:t>
                            </w:r>
                            <w:r w:rsidR="001426FD">
                              <w:rPr>
                                <w:rFonts w:ascii="Garamond" w:hAnsi="Garamond"/>
                                <w:color w:val="2F5496" w:themeColor="accent1" w:themeShade="BF"/>
                                <w:sz w:val="60"/>
                                <w:szCs w:val="60"/>
                              </w:rPr>
                              <w:t>I</w:t>
                            </w:r>
                            <w:r w:rsidRPr="00B14BAC">
                              <w:rPr>
                                <w:rFonts w:ascii="Garamond" w:hAnsi="Garamond"/>
                                <w:color w:val="2F5496" w:themeColor="accent1" w:themeShade="BF"/>
                                <w:sz w:val="60"/>
                                <w:szCs w:val="60"/>
                              </w:rPr>
                              <w:t xml:space="preserve"> trimestre 202</w:t>
                            </w:r>
                            <w:r w:rsidR="008151D5">
                              <w:rPr>
                                <w:rFonts w:ascii="Garamond" w:hAnsi="Garamond"/>
                                <w:color w:val="2F5496" w:themeColor="accent1" w:themeShade="BF"/>
                                <w:sz w:val="60"/>
                                <w:szCs w:val="6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9FA61" id="Rectángulo 2" o:spid="_x0000_s1027" style="position:absolute;margin-left:0;margin-top:161.75pt;width:279.75pt;height:152.2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" filled="f" stroked="f" strokeweight="1pt">
                <v:textbox>
                  <w:txbxContent>
                    <w:p w:rsidR="00A30EEF"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 xml:space="preserve">Resultados </w:t>
                      </w:r>
                    </w:p>
                    <w:p w:rsidR="007F352D" w:rsidRPr="007F352D"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de la Balanza de Pagos</w:t>
                      </w:r>
                    </w:p>
                    <w:p w:rsidR="00EE444E" w:rsidRPr="00897288" w:rsidRDefault="00EE444E" w:rsidP="00A30EEF">
                      <w:pPr>
                        <w:rPr>
                          <w:rFonts w:ascii="Garamond" w:hAnsi="Garamond"/>
                          <w:color w:val="000000" w:themeColor="text1"/>
                          <w:sz w:val="60"/>
                          <w:szCs w:val="60"/>
                        </w:rPr>
                      </w:pPr>
                      <w:r w:rsidRPr="00B14BAC">
                        <w:rPr>
                          <w:rFonts w:ascii="Garamond" w:hAnsi="Garamond"/>
                          <w:color w:val="2F5496" w:themeColor="accent1" w:themeShade="BF"/>
                          <w:sz w:val="60"/>
                          <w:szCs w:val="60"/>
                        </w:rPr>
                        <w:t>I</w:t>
                      </w:r>
                      <w:r w:rsidR="001426FD">
                        <w:rPr>
                          <w:rFonts w:ascii="Garamond" w:hAnsi="Garamond"/>
                          <w:color w:val="2F5496" w:themeColor="accent1" w:themeShade="BF"/>
                          <w:sz w:val="60"/>
                          <w:szCs w:val="60"/>
                        </w:rPr>
                        <w:t>I</w:t>
                      </w:r>
                      <w:r w:rsidRPr="00B14BAC">
                        <w:rPr>
                          <w:rFonts w:ascii="Garamond" w:hAnsi="Garamond"/>
                          <w:color w:val="2F5496" w:themeColor="accent1" w:themeShade="BF"/>
                          <w:sz w:val="60"/>
                          <w:szCs w:val="60"/>
                        </w:rPr>
                        <w:t xml:space="preserve"> trimestre 202</w:t>
                      </w:r>
                      <w:r w:rsidR="008151D5">
                        <w:rPr>
                          <w:rFonts w:ascii="Garamond" w:hAnsi="Garamond"/>
                          <w:color w:val="2F5496" w:themeColor="accent1" w:themeShade="BF"/>
                          <w:sz w:val="60"/>
                          <w:szCs w:val="60"/>
                        </w:rPr>
                        <w:t>4</w:t>
                      </w:r>
                    </w:p>
                  </w:txbxContent>
                </v:textbox>
                <w10:wrap anchorx="margin"/>
              </v:rect>
            </w:pict>
          </mc:Fallback>
        </mc:AlternateContent>
      </w:r>
      <w:r w:rsidR="00054320">
        <w:br w:type="page"/>
      </w:r>
    </w:p>
    <w:p w:rsidR="002A6747" w:rsidRPr="007D5436" w:rsidRDefault="002A6747" w:rsidP="002A6747">
      <w:pPr>
        <w:pStyle w:val="TDC1"/>
        <w:tabs>
          <w:tab w:val="right" w:leader="dot" w:pos="10472"/>
        </w:tabs>
        <w:rPr>
          <w:rFonts w:ascii="Futura Md BT" w:hAnsi="Futura Md BT"/>
          <w:b/>
          <w:sz w:val="20"/>
          <w:szCs w:val="20"/>
        </w:rPr>
        <w:sectPr w:rsidR="002A6747" w:rsidRPr="007D5436" w:rsidSect="00C70B0E">
          <w:pgSz w:w="12240" w:h="15840" w:code="1"/>
          <w:pgMar w:top="1701" w:right="1418" w:bottom="1134" w:left="1418" w:header="624" w:footer="624" w:gutter="0"/>
          <w:cols w:space="708"/>
          <w:titlePg/>
          <w:docGrid w:linePitch="360"/>
        </w:sectPr>
      </w:pPr>
    </w:p>
    <w:p w:rsidR="00F6744B" w:rsidRDefault="00F6744B" w:rsidP="00D02B3A">
      <w:pPr>
        <w:pStyle w:val="Estilo2"/>
        <w:numPr>
          <w:ilvl w:val="0"/>
          <w:numId w:val="4"/>
        </w:numPr>
        <w:jc w:val="left"/>
      </w:pPr>
      <w:r>
        <w:lastRenderedPageBreak/>
        <w:t>Resumen</w:t>
      </w:r>
    </w:p>
    <w:p w:rsidR="00F6744B" w:rsidRDefault="00F6744B" w:rsidP="00F6744B">
      <w:pPr>
        <w:pStyle w:val="Estilo2"/>
        <w:ind w:left="862"/>
        <w:jc w:val="left"/>
      </w:pPr>
    </w:p>
    <w:p w:rsidR="00893692" w:rsidRDefault="00E44636" w:rsidP="00893692">
      <w:pPr>
        <w:spacing w:line="276" w:lineRule="auto"/>
        <w:jc w:val="both"/>
        <w:rPr>
          <w:rFonts w:ascii="Futura Lt BT" w:hAnsi="Futura Lt BT" w:cs="Courier New"/>
          <w:sz w:val="24"/>
          <w:szCs w:val="24"/>
          <w:lang w:val="es-MX"/>
        </w:rPr>
      </w:pPr>
      <w:r>
        <w:rPr>
          <w:rFonts w:ascii="Futura Lt BT" w:hAnsi="Futura Lt BT" w:cs="Courier New"/>
          <w:sz w:val="24"/>
          <w:szCs w:val="24"/>
          <w:lang w:val="es-MX"/>
        </w:rPr>
        <w:t xml:space="preserve">Entre los </w:t>
      </w:r>
      <w:r w:rsidR="002335EB">
        <w:rPr>
          <w:rFonts w:ascii="Futura Lt BT" w:hAnsi="Futura Lt BT" w:cs="Courier New"/>
          <w:sz w:val="24"/>
          <w:szCs w:val="24"/>
          <w:lang w:val="es-MX"/>
        </w:rPr>
        <w:t xml:space="preserve">resultados </w:t>
      </w:r>
      <w:r>
        <w:rPr>
          <w:rFonts w:ascii="Futura Lt BT" w:hAnsi="Futura Lt BT" w:cs="Courier New"/>
          <w:sz w:val="24"/>
          <w:szCs w:val="24"/>
          <w:lang w:val="es-MX"/>
        </w:rPr>
        <w:t>de la balanza de pagos d</w:t>
      </w:r>
      <w:r w:rsidR="00B16892" w:rsidRPr="00797201">
        <w:rPr>
          <w:rFonts w:ascii="Futura Lt BT" w:hAnsi="Futura Lt BT" w:cs="Courier New"/>
          <w:sz w:val="24"/>
          <w:szCs w:val="24"/>
          <w:lang w:val="es-MX"/>
        </w:rPr>
        <w:t xml:space="preserve">el </w:t>
      </w:r>
      <w:r w:rsidR="001426FD">
        <w:rPr>
          <w:rFonts w:ascii="Futura Lt BT" w:hAnsi="Futura Lt BT" w:cs="Courier New"/>
          <w:sz w:val="24"/>
          <w:szCs w:val="24"/>
          <w:lang w:val="es-MX"/>
        </w:rPr>
        <w:t>segundo</w:t>
      </w:r>
      <w:r w:rsidR="00B16892" w:rsidRPr="00797201">
        <w:rPr>
          <w:rFonts w:ascii="Futura Lt BT" w:hAnsi="Futura Lt BT" w:cs="Courier New"/>
          <w:sz w:val="24"/>
          <w:szCs w:val="24"/>
          <w:lang w:val="es-MX"/>
        </w:rPr>
        <w:t xml:space="preserve"> trimestre de 202</w:t>
      </w:r>
      <w:r w:rsidR="008151D5" w:rsidRPr="00797201">
        <w:rPr>
          <w:rFonts w:ascii="Futura Lt BT" w:hAnsi="Futura Lt BT" w:cs="Courier New"/>
          <w:sz w:val="24"/>
          <w:szCs w:val="24"/>
          <w:lang w:val="es-MX"/>
        </w:rPr>
        <w:t>4</w:t>
      </w:r>
      <w:r w:rsidR="00B16892" w:rsidRPr="00797201">
        <w:rPr>
          <w:rFonts w:ascii="Futura Lt BT" w:hAnsi="Futura Lt BT" w:cs="Courier New"/>
          <w:sz w:val="24"/>
          <w:szCs w:val="24"/>
          <w:lang w:val="es-MX"/>
        </w:rPr>
        <w:t xml:space="preserve">, </w:t>
      </w:r>
      <w:r w:rsidR="00073235" w:rsidRPr="00797201">
        <w:rPr>
          <w:rFonts w:ascii="Futura Lt BT" w:hAnsi="Futura Lt BT" w:cs="Courier New"/>
          <w:sz w:val="24"/>
          <w:szCs w:val="24"/>
          <w:lang w:val="es-MX"/>
        </w:rPr>
        <w:t xml:space="preserve">se </w:t>
      </w:r>
      <w:r w:rsidR="002257A8">
        <w:rPr>
          <w:rFonts w:ascii="Futura Lt BT" w:hAnsi="Futura Lt BT" w:cs="Courier New"/>
          <w:sz w:val="24"/>
          <w:szCs w:val="24"/>
          <w:lang w:val="es-MX"/>
        </w:rPr>
        <w:t>registró</w:t>
      </w:r>
      <w:r w:rsidR="00EF4E0E" w:rsidRPr="00797201">
        <w:rPr>
          <w:rFonts w:ascii="Futura Lt BT" w:hAnsi="Futura Lt BT" w:cs="Courier New"/>
          <w:sz w:val="24"/>
          <w:szCs w:val="24"/>
          <w:lang w:val="es-MX"/>
        </w:rPr>
        <w:t xml:space="preserve"> </w:t>
      </w:r>
      <w:r w:rsidR="002257A8" w:rsidRPr="00797201">
        <w:rPr>
          <w:rFonts w:ascii="Futura Lt BT" w:hAnsi="Futura Lt BT" w:cs="Courier New"/>
          <w:sz w:val="24"/>
          <w:szCs w:val="24"/>
          <w:lang w:val="es-MX"/>
        </w:rPr>
        <w:t>1,</w:t>
      </w:r>
      <w:r w:rsidR="002257A8">
        <w:rPr>
          <w:rFonts w:ascii="Futura Lt BT" w:hAnsi="Futura Lt BT" w:cs="Courier New"/>
          <w:sz w:val="24"/>
          <w:szCs w:val="24"/>
          <w:lang w:val="es-MX"/>
        </w:rPr>
        <w:t>805</w:t>
      </w:r>
      <w:r w:rsidR="002257A8" w:rsidRPr="00797201">
        <w:rPr>
          <w:rFonts w:ascii="Futura Lt BT" w:hAnsi="Futura Lt BT" w:cs="Courier New"/>
          <w:sz w:val="24"/>
          <w:szCs w:val="24"/>
          <w:lang w:val="es-MX"/>
        </w:rPr>
        <w:t>.</w:t>
      </w:r>
      <w:r w:rsidR="002257A8">
        <w:rPr>
          <w:rFonts w:ascii="Futura Lt BT" w:hAnsi="Futura Lt BT" w:cs="Courier New"/>
          <w:sz w:val="24"/>
          <w:szCs w:val="24"/>
          <w:lang w:val="es-MX"/>
        </w:rPr>
        <w:t>9</w:t>
      </w:r>
      <w:r w:rsidR="002257A8" w:rsidRPr="00797201">
        <w:rPr>
          <w:rFonts w:ascii="Futura Lt BT" w:hAnsi="Futura Lt BT" w:cs="Courier New"/>
          <w:sz w:val="24"/>
          <w:szCs w:val="24"/>
          <w:lang w:val="es-MX"/>
        </w:rPr>
        <w:t xml:space="preserve"> millones de dólares </w:t>
      </w:r>
      <w:r w:rsidR="002257A8">
        <w:rPr>
          <w:rFonts w:ascii="Futura Lt BT" w:hAnsi="Futura Lt BT" w:cs="Courier New"/>
          <w:sz w:val="24"/>
          <w:szCs w:val="24"/>
          <w:lang w:val="es-MX"/>
        </w:rPr>
        <w:t xml:space="preserve">en </w:t>
      </w:r>
      <w:r w:rsidR="002257A8" w:rsidRPr="00797201">
        <w:rPr>
          <w:rFonts w:ascii="Futura Lt BT" w:hAnsi="Futura Lt BT" w:cs="Courier New"/>
          <w:sz w:val="24"/>
          <w:szCs w:val="24"/>
          <w:lang w:val="es-MX"/>
        </w:rPr>
        <w:t>exportaciones de bienes</w:t>
      </w:r>
      <w:r w:rsidR="002257A8">
        <w:rPr>
          <w:rFonts w:ascii="Futura Lt BT" w:hAnsi="Futura Lt BT" w:cs="Courier New"/>
          <w:sz w:val="24"/>
          <w:szCs w:val="24"/>
          <w:lang w:val="es-MX"/>
        </w:rPr>
        <w:t xml:space="preserve">, lo cual significó un </w:t>
      </w:r>
      <w:r w:rsidR="001426FD">
        <w:rPr>
          <w:rFonts w:ascii="Futura Lt BT" w:hAnsi="Futura Lt BT" w:cs="Courier New"/>
          <w:sz w:val="24"/>
          <w:szCs w:val="24"/>
          <w:lang w:val="es-MX"/>
        </w:rPr>
        <w:t>incremento</w:t>
      </w:r>
      <w:r w:rsidR="003C44C4" w:rsidRPr="00797201">
        <w:rPr>
          <w:rFonts w:ascii="Futura Lt BT" w:hAnsi="Futura Lt BT" w:cs="Courier New"/>
          <w:sz w:val="24"/>
          <w:szCs w:val="24"/>
          <w:lang w:val="es-MX"/>
        </w:rPr>
        <w:t xml:space="preserve"> de </w:t>
      </w:r>
      <w:r w:rsidR="002257A8">
        <w:rPr>
          <w:rFonts w:ascii="Futura Lt BT" w:hAnsi="Futura Lt BT" w:cs="Courier New"/>
          <w:sz w:val="24"/>
          <w:szCs w:val="24"/>
          <w:lang w:val="es-MX"/>
        </w:rPr>
        <w:t>2</w:t>
      </w:r>
      <w:r w:rsidR="002257A8" w:rsidRPr="00797201">
        <w:rPr>
          <w:rFonts w:ascii="Futura Lt BT" w:hAnsi="Futura Lt BT" w:cs="Courier New"/>
          <w:sz w:val="24"/>
          <w:szCs w:val="24"/>
          <w:lang w:val="es-MX"/>
        </w:rPr>
        <w:t>.</w:t>
      </w:r>
      <w:r w:rsidR="002257A8">
        <w:rPr>
          <w:rFonts w:ascii="Futura Lt BT" w:hAnsi="Futura Lt BT" w:cs="Courier New"/>
          <w:sz w:val="24"/>
          <w:szCs w:val="24"/>
          <w:lang w:val="es-MX"/>
        </w:rPr>
        <w:t>3</w:t>
      </w:r>
      <w:r w:rsidR="002257A8" w:rsidRPr="00797201">
        <w:rPr>
          <w:rFonts w:ascii="Futura Lt BT" w:hAnsi="Futura Lt BT" w:cs="Courier New"/>
          <w:sz w:val="24"/>
          <w:szCs w:val="24"/>
          <w:lang w:val="es-MX"/>
        </w:rPr>
        <w:t xml:space="preserve"> por ciento </w:t>
      </w:r>
      <w:r w:rsidR="002257A8">
        <w:rPr>
          <w:rFonts w:ascii="Futura Lt BT" w:hAnsi="Futura Lt BT" w:cs="Courier New"/>
          <w:sz w:val="24"/>
          <w:szCs w:val="24"/>
          <w:lang w:val="es-MX"/>
        </w:rPr>
        <w:t>(+US$</w:t>
      </w:r>
      <w:r w:rsidR="001426FD">
        <w:rPr>
          <w:rFonts w:ascii="Futura Lt BT" w:hAnsi="Futura Lt BT" w:cs="Courier New"/>
          <w:sz w:val="24"/>
          <w:szCs w:val="24"/>
          <w:lang w:val="es-MX"/>
        </w:rPr>
        <w:t>41.</w:t>
      </w:r>
      <w:r w:rsidR="008151D5" w:rsidRPr="00797201">
        <w:rPr>
          <w:rFonts w:ascii="Futura Lt BT" w:hAnsi="Futura Lt BT" w:cs="Courier New"/>
          <w:sz w:val="24"/>
          <w:szCs w:val="24"/>
          <w:lang w:val="es-MX"/>
        </w:rPr>
        <w:t>2</w:t>
      </w:r>
      <w:r w:rsidR="003C44C4" w:rsidRPr="00797201">
        <w:rPr>
          <w:rFonts w:ascii="Futura Lt BT" w:hAnsi="Futura Lt BT" w:cs="Courier New"/>
          <w:sz w:val="24"/>
          <w:szCs w:val="24"/>
          <w:lang w:val="es-MX"/>
        </w:rPr>
        <w:t xml:space="preserve"> millones</w:t>
      </w:r>
      <w:r w:rsidR="002257A8">
        <w:rPr>
          <w:rFonts w:ascii="Futura Lt BT" w:hAnsi="Futura Lt BT" w:cs="Courier New"/>
          <w:sz w:val="24"/>
          <w:szCs w:val="24"/>
          <w:lang w:val="es-MX"/>
        </w:rPr>
        <w:t>) con</w:t>
      </w:r>
      <w:r w:rsidR="003C44C4" w:rsidRPr="00797201">
        <w:rPr>
          <w:rFonts w:ascii="Futura Lt BT" w:hAnsi="Futura Lt BT" w:cs="Courier New"/>
          <w:sz w:val="24"/>
          <w:szCs w:val="24"/>
          <w:lang w:val="es-MX"/>
        </w:rPr>
        <w:t xml:space="preserve"> </w:t>
      </w:r>
      <w:r w:rsidR="00E51CC8">
        <w:rPr>
          <w:rFonts w:ascii="Futura Lt BT" w:hAnsi="Futura Lt BT" w:cs="Courier New"/>
          <w:sz w:val="24"/>
          <w:szCs w:val="24"/>
          <w:lang w:val="es-MX"/>
        </w:rPr>
        <w:t>respecto a</w:t>
      </w:r>
      <w:r w:rsidR="008F02A9">
        <w:rPr>
          <w:rFonts w:ascii="Futura Lt BT" w:hAnsi="Futura Lt BT" w:cs="Courier New"/>
          <w:sz w:val="24"/>
          <w:szCs w:val="24"/>
          <w:lang w:val="es-MX"/>
        </w:rPr>
        <w:t>l</w:t>
      </w:r>
      <w:r w:rsidR="003C44C4" w:rsidRPr="00797201">
        <w:rPr>
          <w:rFonts w:ascii="Futura Lt BT" w:hAnsi="Futura Lt BT" w:cs="Courier New"/>
          <w:sz w:val="24"/>
          <w:szCs w:val="24"/>
          <w:lang w:val="es-MX"/>
        </w:rPr>
        <w:t xml:space="preserve"> </w:t>
      </w:r>
      <w:r w:rsidR="00D93C75">
        <w:rPr>
          <w:rFonts w:ascii="Futura Lt BT" w:hAnsi="Futura Lt BT" w:cs="Courier New"/>
          <w:sz w:val="24"/>
          <w:szCs w:val="24"/>
          <w:lang w:val="es-MX"/>
        </w:rPr>
        <w:t>segundo</w:t>
      </w:r>
      <w:r w:rsidR="003C44C4" w:rsidRPr="00797201">
        <w:rPr>
          <w:rFonts w:ascii="Futura Lt BT" w:hAnsi="Futura Lt BT" w:cs="Courier New"/>
          <w:sz w:val="24"/>
          <w:szCs w:val="24"/>
          <w:lang w:val="es-MX"/>
        </w:rPr>
        <w:t xml:space="preserve"> </w:t>
      </w:r>
      <w:r w:rsidR="00D93C75">
        <w:rPr>
          <w:rFonts w:ascii="Futura Lt BT" w:hAnsi="Futura Lt BT" w:cs="Courier New"/>
          <w:sz w:val="24"/>
          <w:szCs w:val="24"/>
          <w:lang w:val="es-MX"/>
        </w:rPr>
        <w:t>tri</w:t>
      </w:r>
      <w:r w:rsidR="008F02A9">
        <w:rPr>
          <w:rFonts w:ascii="Futura Lt BT" w:hAnsi="Futura Lt BT" w:cs="Courier New"/>
          <w:sz w:val="24"/>
          <w:szCs w:val="24"/>
          <w:lang w:val="es-MX"/>
        </w:rPr>
        <w:t>mestre</w:t>
      </w:r>
      <w:r w:rsidR="003C44C4" w:rsidRPr="00797201">
        <w:rPr>
          <w:rFonts w:ascii="Futura Lt BT" w:hAnsi="Futura Lt BT" w:cs="Courier New"/>
          <w:sz w:val="24"/>
          <w:szCs w:val="24"/>
          <w:lang w:val="es-MX"/>
        </w:rPr>
        <w:t xml:space="preserve"> de 202</w:t>
      </w:r>
      <w:bookmarkStart w:id="0" w:name="_Hlk157154179"/>
      <w:r w:rsidR="008151D5" w:rsidRPr="00797201">
        <w:rPr>
          <w:rFonts w:ascii="Futura Lt BT" w:hAnsi="Futura Lt BT" w:cs="Courier New"/>
          <w:sz w:val="24"/>
          <w:szCs w:val="24"/>
          <w:lang w:val="es-MX"/>
        </w:rPr>
        <w:t>3</w:t>
      </w:r>
      <w:r w:rsidR="00E51CC8">
        <w:rPr>
          <w:rFonts w:ascii="Futura Lt BT" w:hAnsi="Futura Lt BT" w:cs="Courier New"/>
          <w:sz w:val="24"/>
          <w:szCs w:val="24"/>
          <w:lang w:val="es-MX"/>
        </w:rPr>
        <w:t xml:space="preserve"> (US$1,7</w:t>
      </w:r>
      <w:r w:rsidR="001426FD">
        <w:rPr>
          <w:rFonts w:ascii="Futura Lt BT" w:hAnsi="Futura Lt BT" w:cs="Courier New"/>
          <w:sz w:val="24"/>
          <w:szCs w:val="24"/>
          <w:lang w:val="es-MX"/>
        </w:rPr>
        <w:t>64</w:t>
      </w:r>
      <w:r w:rsidR="00E51CC8">
        <w:rPr>
          <w:rFonts w:ascii="Futura Lt BT" w:hAnsi="Futura Lt BT" w:cs="Courier New"/>
          <w:sz w:val="24"/>
          <w:szCs w:val="24"/>
          <w:lang w:val="es-MX"/>
        </w:rPr>
        <w:t>.</w:t>
      </w:r>
      <w:r w:rsidR="001426FD">
        <w:rPr>
          <w:rFonts w:ascii="Futura Lt BT" w:hAnsi="Futura Lt BT" w:cs="Courier New"/>
          <w:sz w:val="24"/>
          <w:szCs w:val="24"/>
          <w:lang w:val="es-MX"/>
        </w:rPr>
        <w:t>7</w:t>
      </w:r>
      <w:r w:rsidR="00E51CC8">
        <w:rPr>
          <w:rFonts w:ascii="Futura Lt BT" w:hAnsi="Futura Lt BT" w:cs="Courier New"/>
          <w:sz w:val="24"/>
          <w:szCs w:val="24"/>
          <w:lang w:val="es-MX"/>
        </w:rPr>
        <w:t xml:space="preserve"> millones)</w:t>
      </w:r>
      <w:r w:rsidR="00F37BA1" w:rsidRPr="00797201">
        <w:rPr>
          <w:rFonts w:ascii="Futura Lt BT" w:hAnsi="Futura Lt BT" w:cs="Courier New"/>
          <w:sz w:val="24"/>
          <w:szCs w:val="24"/>
          <w:lang w:val="es-MX"/>
        </w:rPr>
        <w:t xml:space="preserve">, </w:t>
      </w:r>
      <w:r w:rsidR="008151D5" w:rsidRPr="00797201">
        <w:rPr>
          <w:rFonts w:ascii="Futura Lt BT" w:hAnsi="Futura Lt BT" w:cs="Courier New"/>
          <w:sz w:val="24"/>
          <w:szCs w:val="24"/>
          <w:lang w:val="es-MX"/>
        </w:rPr>
        <w:t>como consecuencia</w:t>
      </w:r>
      <w:r w:rsidR="00F37BA1" w:rsidRPr="00797201">
        <w:rPr>
          <w:rFonts w:ascii="Futura Lt BT" w:hAnsi="Futura Lt BT" w:cs="Courier New"/>
          <w:sz w:val="24"/>
          <w:szCs w:val="24"/>
          <w:lang w:val="es-MX"/>
        </w:rPr>
        <w:t xml:space="preserve"> </w:t>
      </w:r>
      <w:r w:rsidR="008151D5" w:rsidRPr="00797201">
        <w:rPr>
          <w:rFonts w:ascii="Futura Lt BT" w:hAnsi="Futura Lt BT" w:cs="Courier New"/>
          <w:sz w:val="24"/>
          <w:szCs w:val="24"/>
          <w:lang w:val="es-MX"/>
        </w:rPr>
        <w:t>de m</w:t>
      </w:r>
      <w:r w:rsidR="00065A82">
        <w:rPr>
          <w:rFonts w:ascii="Futura Lt BT" w:hAnsi="Futura Lt BT" w:cs="Courier New"/>
          <w:sz w:val="24"/>
          <w:szCs w:val="24"/>
          <w:lang w:val="es-MX"/>
        </w:rPr>
        <w:t>ayo</w:t>
      </w:r>
      <w:r w:rsidR="008151D5" w:rsidRPr="00797201">
        <w:rPr>
          <w:rFonts w:ascii="Futura Lt BT" w:hAnsi="Futura Lt BT" w:cs="Courier New"/>
          <w:sz w:val="24"/>
          <w:szCs w:val="24"/>
          <w:lang w:val="es-MX"/>
        </w:rPr>
        <w:t>res</w:t>
      </w:r>
      <w:r w:rsidR="00F37BA1" w:rsidRPr="00797201">
        <w:rPr>
          <w:rFonts w:ascii="Futura Lt BT" w:hAnsi="Futura Lt BT" w:cs="Courier New"/>
          <w:sz w:val="24"/>
          <w:szCs w:val="24"/>
          <w:lang w:val="es-MX"/>
        </w:rPr>
        <w:t xml:space="preserve"> </w:t>
      </w:r>
      <w:r w:rsidR="008151D5" w:rsidRPr="00797201">
        <w:rPr>
          <w:rFonts w:ascii="Futura Lt BT" w:hAnsi="Futura Lt BT" w:cs="Courier New"/>
          <w:sz w:val="24"/>
          <w:szCs w:val="24"/>
          <w:lang w:val="es-MX"/>
        </w:rPr>
        <w:t>e</w:t>
      </w:r>
      <w:r w:rsidR="00F37BA1" w:rsidRPr="00797201">
        <w:rPr>
          <w:rFonts w:ascii="Futura Lt BT" w:hAnsi="Futura Lt BT" w:cs="Courier New"/>
          <w:sz w:val="24"/>
          <w:szCs w:val="24"/>
          <w:lang w:val="es-MX"/>
        </w:rPr>
        <w:t xml:space="preserve">xportaciones de </w:t>
      </w:r>
      <w:r w:rsidR="00283FE5">
        <w:rPr>
          <w:rFonts w:ascii="Futura Lt BT" w:hAnsi="Futura Lt BT" w:cs="Courier New"/>
          <w:sz w:val="24"/>
          <w:szCs w:val="24"/>
          <w:lang w:val="es-MX"/>
        </w:rPr>
        <w:t xml:space="preserve">la </w:t>
      </w:r>
      <w:r w:rsidR="006B3710">
        <w:rPr>
          <w:rFonts w:ascii="Futura Lt BT" w:hAnsi="Futura Lt BT" w:cs="Courier New"/>
          <w:sz w:val="24"/>
          <w:szCs w:val="24"/>
          <w:lang w:val="es-MX"/>
        </w:rPr>
        <w:t>minería</w:t>
      </w:r>
      <w:r w:rsidR="00315321" w:rsidRPr="00797201">
        <w:rPr>
          <w:rFonts w:ascii="Futura Lt BT" w:hAnsi="Futura Lt BT" w:cs="Courier New"/>
          <w:sz w:val="24"/>
          <w:szCs w:val="24"/>
          <w:lang w:val="es-MX"/>
        </w:rPr>
        <w:t xml:space="preserve">, </w:t>
      </w:r>
      <w:r w:rsidR="008151D5" w:rsidRPr="00797201">
        <w:rPr>
          <w:rFonts w:ascii="Futura Lt BT" w:hAnsi="Futura Lt BT" w:cs="Courier New"/>
          <w:sz w:val="24"/>
          <w:szCs w:val="24"/>
          <w:lang w:val="es-MX"/>
        </w:rPr>
        <w:t>pes</w:t>
      </w:r>
      <w:r w:rsidR="00283FE5">
        <w:rPr>
          <w:rFonts w:ascii="Futura Lt BT" w:hAnsi="Futura Lt BT" w:cs="Courier New"/>
          <w:sz w:val="24"/>
          <w:szCs w:val="24"/>
          <w:lang w:val="es-MX"/>
        </w:rPr>
        <w:t>ca</w:t>
      </w:r>
      <w:r w:rsidR="008545B2" w:rsidRPr="00797201">
        <w:rPr>
          <w:rFonts w:ascii="Futura Lt BT" w:hAnsi="Futura Lt BT" w:cs="Courier New"/>
          <w:sz w:val="24"/>
          <w:szCs w:val="24"/>
          <w:lang w:val="es-MX"/>
        </w:rPr>
        <w:t xml:space="preserve"> y manufactura</w:t>
      </w:r>
      <w:r w:rsidR="008E632A" w:rsidRPr="00797201">
        <w:rPr>
          <w:rFonts w:ascii="Futura Lt BT" w:hAnsi="Futura Lt BT" w:cs="Courier New"/>
          <w:sz w:val="24"/>
          <w:szCs w:val="24"/>
          <w:lang w:val="es-MX"/>
        </w:rPr>
        <w:t>.</w:t>
      </w:r>
      <w:r w:rsidR="003C44C4" w:rsidRPr="00797201">
        <w:rPr>
          <w:rFonts w:ascii="Futura Lt BT" w:hAnsi="Futura Lt BT" w:cs="Courier New"/>
          <w:sz w:val="24"/>
          <w:szCs w:val="24"/>
          <w:lang w:val="es-MX"/>
        </w:rPr>
        <w:t xml:space="preserve"> </w:t>
      </w:r>
      <w:r w:rsidR="006B3710">
        <w:rPr>
          <w:rFonts w:ascii="Futura Lt BT" w:hAnsi="Futura Lt BT" w:cs="Courier New"/>
          <w:sz w:val="24"/>
          <w:szCs w:val="24"/>
          <w:lang w:val="es-MX"/>
        </w:rPr>
        <w:t>De igual manera</w:t>
      </w:r>
      <w:r w:rsidR="00A03667" w:rsidRPr="00797201">
        <w:rPr>
          <w:rFonts w:ascii="Futura Lt BT" w:hAnsi="Futura Lt BT" w:cs="Courier New"/>
          <w:sz w:val="24"/>
          <w:szCs w:val="24"/>
          <w:lang w:val="es-MX"/>
        </w:rPr>
        <w:t xml:space="preserve">, las importaciones de bienes </w:t>
      </w:r>
      <w:r w:rsidR="00D93C75">
        <w:rPr>
          <w:rFonts w:ascii="Futura Lt BT" w:hAnsi="Futura Lt BT" w:cs="Courier New"/>
          <w:sz w:val="24"/>
          <w:szCs w:val="24"/>
          <w:lang w:val="es-MX"/>
        </w:rPr>
        <w:t>fueron</w:t>
      </w:r>
      <w:r w:rsidR="000E3371" w:rsidRPr="00797201">
        <w:rPr>
          <w:rFonts w:ascii="Futura Lt BT" w:hAnsi="Futura Lt BT" w:cs="Courier New"/>
          <w:sz w:val="24"/>
          <w:szCs w:val="24"/>
          <w:lang w:val="es-MX"/>
        </w:rPr>
        <w:t xml:space="preserve"> </w:t>
      </w:r>
      <w:r w:rsidR="00D93C75" w:rsidRPr="00797201">
        <w:rPr>
          <w:rFonts w:ascii="Futura Lt BT" w:hAnsi="Futura Lt BT" w:cs="Courier New"/>
          <w:sz w:val="24"/>
          <w:szCs w:val="24"/>
          <w:lang w:val="es-MX"/>
        </w:rPr>
        <w:t>2,</w:t>
      </w:r>
      <w:r w:rsidR="00D93C75">
        <w:rPr>
          <w:rFonts w:ascii="Futura Lt BT" w:hAnsi="Futura Lt BT" w:cs="Courier New"/>
          <w:sz w:val="24"/>
          <w:szCs w:val="24"/>
          <w:lang w:val="es-MX"/>
        </w:rPr>
        <w:t>496</w:t>
      </w:r>
      <w:r w:rsidR="00D93C75" w:rsidRPr="00797201">
        <w:rPr>
          <w:rFonts w:ascii="Futura Lt BT" w:hAnsi="Futura Lt BT" w:cs="Courier New"/>
          <w:sz w:val="24"/>
          <w:szCs w:val="24"/>
          <w:lang w:val="es-MX"/>
        </w:rPr>
        <w:t>.</w:t>
      </w:r>
      <w:r w:rsidR="00D93C75">
        <w:rPr>
          <w:rFonts w:ascii="Futura Lt BT" w:hAnsi="Futura Lt BT" w:cs="Courier New"/>
          <w:sz w:val="24"/>
          <w:szCs w:val="24"/>
          <w:lang w:val="es-MX"/>
        </w:rPr>
        <w:t>5</w:t>
      </w:r>
      <w:r w:rsidR="00D93C75" w:rsidRPr="00797201">
        <w:rPr>
          <w:rFonts w:ascii="Futura Lt BT" w:hAnsi="Futura Lt BT" w:cs="Courier New"/>
          <w:sz w:val="24"/>
          <w:szCs w:val="24"/>
          <w:lang w:val="es-MX"/>
        </w:rPr>
        <w:t xml:space="preserve"> millones de dólares </w:t>
      </w:r>
      <w:r w:rsidR="000E3371" w:rsidRPr="00797201">
        <w:rPr>
          <w:rFonts w:ascii="Futura Lt BT" w:hAnsi="Futura Lt BT" w:cs="Courier New"/>
          <w:sz w:val="24"/>
          <w:szCs w:val="24"/>
          <w:lang w:val="es-MX"/>
        </w:rPr>
        <w:t xml:space="preserve">en el </w:t>
      </w:r>
      <w:r w:rsidR="00D93C75">
        <w:rPr>
          <w:rFonts w:ascii="Futura Lt BT" w:hAnsi="Futura Lt BT" w:cs="Courier New"/>
          <w:sz w:val="24"/>
          <w:szCs w:val="24"/>
          <w:lang w:val="es-MX"/>
        </w:rPr>
        <w:t xml:space="preserve">segundo </w:t>
      </w:r>
      <w:r w:rsidR="000E3371" w:rsidRPr="00797201">
        <w:rPr>
          <w:rFonts w:ascii="Futura Lt BT" w:hAnsi="Futura Lt BT" w:cs="Courier New"/>
          <w:sz w:val="24"/>
          <w:szCs w:val="24"/>
          <w:lang w:val="es-MX"/>
        </w:rPr>
        <w:t>trimestre</w:t>
      </w:r>
      <w:r w:rsidR="00D93C75">
        <w:rPr>
          <w:rFonts w:ascii="Futura Lt BT" w:hAnsi="Futura Lt BT" w:cs="Courier New"/>
          <w:sz w:val="24"/>
          <w:szCs w:val="24"/>
          <w:lang w:val="es-MX"/>
        </w:rPr>
        <w:t>, con</w:t>
      </w:r>
      <w:r w:rsidR="000E3371" w:rsidRPr="00797201">
        <w:rPr>
          <w:rFonts w:ascii="Futura Lt BT" w:hAnsi="Futura Lt BT" w:cs="Courier New"/>
          <w:sz w:val="24"/>
          <w:szCs w:val="24"/>
          <w:lang w:val="es-MX"/>
        </w:rPr>
        <w:t xml:space="preserve"> </w:t>
      </w:r>
      <w:r w:rsidR="00A03667" w:rsidRPr="00797201">
        <w:rPr>
          <w:rFonts w:ascii="Futura Lt BT" w:hAnsi="Futura Lt BT" w:cs="Courier New"/>
          <w:sz w:val="24"/>
          <w:szCs w:val="24"/>
          <w:lang w:val="es-MX"/>
        </w:rPr>
        <w:t xml:space="preserve">un crecimiento de </w:t>
      </w:r>
      <w:r w:rsidR="00173495">
        <w:rPr>
          <w:rFonts w:ascii="Futura Lt BT" w:hAnsi="Futura Lt BT" w:cs="Courier New"/>
          <w:sz w:val="24"/>
          <w:szCs w:val="24"/>
          <w:lang w:val="es-MX"/>
        </w:rPr>
        <w:t>6</w:t>
      </w:r>
      <w:r w:rsidR="00A03667" w:rsidRPr="00797201">
        <w:rPr>
          <w:rFonts w:ascii="Futura Lt BT" w:hAnsi="Futura Lt BT" w:cs="Courier New"/>
          <w:sz w:val="24"/>
          <w:szCs w:val="24"/>
          <w:lang w:val="es-MX"/>
        </w:rPr>
        <w:t>.</w:t>
      </w:r>
      <w:r w:rsidR="008151D5" w:rsidRPr="00797201">
        <w:rPr>
          <w:rFonts w:ascii="Futura Lt BT" w:hAnsi="Futura Lt BT" w:cs="Courier New"/>
          <w:sz w:val="24"/>
          <w:szCs w:val="24"/>
          <w:lang w:val="es-MX"/>
        </w:rPr>
        <w:t>4</w:t>
      </w:r>
      <w:r w:rsidR="00A03667" w:rsidRPr="00797201">
        <w:rPr>
          <w:rFonts w:ascii="Futura Lt BT" w:hAnsi="Futura Lt BT" w:cs="Courier New"/>
          <w:sz w:val="24"/>
          <w:szCs w:val="24"/>
          <w:lang w:val="es-MX"/>
        </w:rPr>
        <w:t xml:space="preserve"> por ciento</w:t>
      </w:r>
      <w:r w:rsidR="00D93C75">
        <w:rPr>
          <w:rFonts w:ascii="Futura Lt BT" w:hAnsi="Futura Lt BT" w:cs="Courier New"/>
          <w:sz w:val="24"/>
          <w:szCs w:val="24"/>
          <w:lang w:val="es-MX"/>
        </w:rPr>
        <w:t xml:space="preserve"> (+US$149</w:t>
      </w:r>
      <w:r w:rsidR="00D93C75" w:rsidRPr="00797201">
        <w:rPr>
          <w:rFonts w:ascii="Futura Lt BT" w:hAnsi="Futura Lt BT" w:cs="Courier New"/>
          <w:sz w:val="24"/>
          <w:szCs w:val="24"/>
          <w:lang w:val="es-MX"/>
        </w:rPr>
        <w:t>.5 millones</w:t>
      </w:r>
      <w:r w:rsidR="00D93C75">
        <w:rPr>
          <w:rFonts w:ascii="Futura Lt BT" w:hAnsi="Futura Lt BT" w:cs="Courier New"/>
          <w:sz w:val="24"/>
          <w:szCs w:val="24"/>
          <w:lang w:val="es-MX"/>
        </w:rPr>
        <w:t>)</w:t>
      </w:r>
      <w:r w:rsidR="000E3371" w:rsidRPr="00797201">
        <w:rPr>
          <w:rFonts w:ascii="Futura Lt BT" w:hAnsi="Futura Lt BT" w:cs="Courier New"/>
          <w:sz w:val="24"/>
          <w:szCs w:val="24"/>
          <w:lang w:val="es-MX"/>
        </w:rPr>
        <w:t>, respecto a igual trimestre de 202</w:t>
      </w:r>
      <w:r w:rsidR="008151D5" w:rsidRPr="00797201">
        <w:rPr>
          <w:rFonts w:ascii="Futura Lt BT" w:hAnsi="Futura Lt BT" w:cs="Courier New"/>
          <w:sz w:val="24"/>
          <w:szCs w:val="24"/>
          <w:lang w:val="es-MX"/>
        </w:rPr>
        <w:t>3</w:t>
      </w:r>
      <w:r w:rsidR="000E3371" w:rsidRPr="00797201">
        <w:rPr>
          <w:rFonts w:ascii="Futura Lt BT" w:hAnsi="Futura Lt BT" w:cs="Courier New"/>
          <w:sz w:val="24"/>
          <w:szCs w:val="24"/>
          <w:lang w:val="es-MX"/>
        </w:rPr>
        <w:t xml:space="preserve"> (US$2,</w:t>
      </w:r>
      <w:r w:rsidR="00173495">
        <w:rPr>
          <w:rFonts w:ascii="Futura Lt BT" w:hAnsi="Futura Lt BT" w:cs="Courier New"/>
          <w:sz w:val="24"/>
          <w:szCs w:val="24"/>
          <w:lang w:val="es-MX"/>
        </w:rPr>
        <w:t>347</w:t>
      </w:r>
      <w:r w:rsidR="000E3371" w:rsidRPr="00797201">
        <w:rPr>
          <w:rFonts w:ascii="Futura Lt BT" w:hAnsi="Futura Lt BT" w:cs="Courier New"/>
          <w:sz w:val="24"/>
          <w:szCs w:val="24"/>
          <w:lang w:val="es-MX"/>
        </w:rPr>
        <w:t>.</w:t>
      </w:r>
      <w:r w:rsidR="00173495">
        <w:rPr>
          <w:rFonts w:ascii="Futura Lt BT" w:hAnsi="Futura Lt BT" w:cs="Courier New"/>
          <w:sz w:val="24"/>
          <w:szCs w:val="24"/>
          <w:lang w:val="es-MX"/>
        </w:rPr>
        <w:t>0</w:t>
      </w:r>
      <w:r w:rsidR="000E3371" w:rsidRPr="00797201">
        <w:rPr>
          <w:rFonts w:ascii="Futura Lt BT" w:hAnsi="Futura Lt BT" w:cs="Courier New"/>
          <w:sz w:val="24"/>
          <w:szCs w:val="24"/>
          <w:lang w:val="es-MX"/>
        </w:rPr>
        <w:t xml:space="preserve"> millones)</w:t>
      </w:r>
      <w:r w:rsidR="00F37BA1" w:rsidRPr="00797201">
        <w:rPr>
          <w:rFonts w:ascii="Futura Lt BT" w:hAnsi="Futura Lt BT" w:cs="Courier New"/>
          <w:sz w:val="24"/>
          <w:szCs w:val="24"/>
          <w:lang w:val="es-MX"/>
        </w:rPr>
        <w:t xml:space="preserve">, </w:t>
      </w:r>
      <w:r w:rsidR="002335EB">
        <w:rPr>
          <w:rFonts w:ascii="Futura Lt BT" w:hAnsi="Futura Lt BT" w:cs="Courier New"/>
          <w:sz w:val="24"/>
          <w:szCs w:val="24"/>
          <w:lang w:val="es-MX"/>
        </w:rPr>
        <w:t>en consistencia con la senda de crecimiento de la economía.</w:t>
      </w:r>
      <w:r w:rsidR="00D527C5">
        <w:rPr>
          <w:rFonts w:ascii="Futura Lt BT" w:hAnsi="Futura Lt BT" w:cs="Courier New"/>
          <w:sz w:val="24"/>
          <w:szCs w:val="24"/>
          <w:lang w:val="es-MX"/>
        </w:rPr>
        <w:t xml:space="preserve"> Así, el balance comercial de bienes fue deficitario en 690.6 millones de dólares, mayor a igual periodo de 2023 (-US$582.3 millones).</w:t>
      </w:r>
    </w:p>
    <w:p w:rsidR="00893692" w:rsidRDefault="00D93C75" w:rsidP="00893692">
      <w:pPr>
        <w:spacing w:line="276" w:lineRule="auto"/>
        <w:jc w:val="both"/>
        <w:rPr>
          <w:rFonts w:ascii="Futura Lt BT" w:hAnsi="Futura Lt BT" w:cs="Courier New"/>
          <w:sz w:val="24"/>
          <w:szCs w:val="24"/>
          <w:lang w:val="es-MX"/>
        </w:rPr>
      </w:pPr>
      <w:r>
        <w:rPr>
          <w:rFonts w:ascii="Futura Lt BT" w:hAnsi="Futura Lt BT" w:cs="Courier New"/>
          <w:sz w:val="24"/>
          <w:szCs w:val="24"/>
          <w:lang w:val="es-MX"/>
        </w:rPr>
        <w:t>En términos acumulados</w:t>
      </w:r>
      <w:r w:rsidR="004A7F9D">
        <w:rPr>
          <w:rFonts w:ascii="Futura Lt BT" w:hAnsi="Futura Lt BT" w:cs="Courier New"/>
          <w:sz w:val="24"/>
          <w:szCs w:val="24"/>
          <w:lang w:val="es-MX"/>
        </w:rPr>
        <w:t xml:space="preserve">, </w:t>
      </w:r>
      <w:r w:rsidR="004A7F9D" w:rsidRPr="00317203">
        <w:rPr>
          <w:rFonts w:ascii="Futura Lt BT" w:hAnsi="Futura Lt BT" w:cs="Courier New"/>
          <w:sz w:val="24"/>
          <w:szCs w:val="24"/>
          <w:lang w:val="es-MX"/>
        </w:rPr>
        <w:t>las exportaciones de bienes</w:t>
      </w:r>
      <w:r w:rsidR="004A7F9D">
        <w:rPr>
          <w:rFonts w:ascii="Futura Lt BT" w:hAnsi="Futura Lt BT" w:cs="Courier New"/>
          <w:sz w:val="24"/>
          <w:szCs w:val="24"/>
          <w:lang w:val="es-MX"/>
        </w:rPr>
        <w:t xml:space="preserve"> </w:t>
      </w:r>
      <w:r>
        <w:rPr>
          <w:rFonts w:ascii="Futura Lt BT" w:hAnsi="Futura Lt BT" w:cs="Courier New"/>
          <w:sz w:val="24"/>
          <w:szCs w:val="24"/>
          <w:lang w:val="es-MX"/>
        </w:rPr>
        <w:t>sumaron</w:t>
      </w:r>
      <w:r w:rsidR="004A7F9D">
        <w:rPr>
          <w:rFonts w:ascii="Futura Lt BT" w:hAnsi="Futura Lt BT" w:cs="Courier New"/>
          <w:sz w:val="24"/>
          <w:szCs w:val="24"/>
          <w:lang w:val="es-MX"/>
        </w:rPr>
        <w:t xml:space="preserve"> 3,522</w:t>
      </w:r>
      <w:r w:rsidR="004A7F9D" w:rsidRPr="00317203">
        <w:rPr>
          <w:rFonts w:ascii="Futura Lt BT" w:hAnsi="Futura Lt BT" w:cs="Courier New"/>
          <w:sz w:val="24"/>
          <w:szCs w:val="24"/>
          <w:lang w:val="es-MX"/>
        </w:rPr>
        <w:t>.</w:t>
      </w:r>
      <w:r w:rsidR="004A7F9D">
        <w:rPr>
          <w:rFonts w:ascii="Futura Lt BT" w:hAnsi="Futura Lt BT" w:cs="Courier New"/>
          <w:sz w:val="24"/>
          <w:szCs w:val="24"/>
          <w:lang w:val="es-MX"/>
        </w:rPr>
        <w:t>2</w:t>
      </w:r>
      <w:r w:rsidR="004A7F9D" w:rsidRPr="00317203">
        <w:rPr>
          <w:rFonts w:ascii="Futura Lt BT" w:hAnsi="Futura Lt BT" w:cs="Courier New"/>
          <w:sz w:val="24"/>
          <w:szCs w:val="24"/>
          <w:lang w:val="es-MX"/>
        </w:rPr>
        <w:t xml:space="preserve"> millones</w:t>
      </w:r>
      <w:r w:rsidR="004A7F9D">
        <w:rPr>
          <w:rFonts w:ascii="Futura Lt BT" w:hAnsi="Futura Lt BT" w:cs="Courier New"/>
          <w:sz w:val="24"/>
          <w:szCs w:val="24"/>
          <w:lang w:val="es-MX"/>
        </w:rPr>
        <w:t xml:space="preserve"> de dólares</w:t>
      </w:r>
      <w:r w:rsidRPr="00D93C75">
        <w:rPr>
          <w:rFonts w:ascii="Futura Lt BT" w:hAnsi="Futura Lt BT" w:cs="Courier New"/>
          <w:sz w:val="24"/>
          <w:szCs w:val="24"/>
          <w:lang w:val="es-MX"/>
        </w:rPr>
        <w:t xml:space="preserve"> </w:t>
      </w:r>
      <w:r>
        <w:rPr>
          <w:rFonts w:ascii="Futura Lt BT" w:hAnsi="Futura Lt BT" w:cs="Courier New"/>
          <w:sz w:val="24"/>
          <w:szCs w:val="24"/>
          <w:lang w:val="es-MX"/>
        </w:rPr>
        <w:t>en el primer semestre de 2024</w:t>
      </w:r>
      <w:r w:rsidR="004A7F9D">
        <w:rPr>
          <w:rFonts w:ascii="Futura Lt BT" w:hAnsi="Futura Lt BT" w:cs="Courier New"/>
          <w:sz w:val="24"/>
          <w:szCs w:val="24"/>
          <w:lang w:val="es-MX"/>
        </w:rPr>
        <w:t>, para una disminución</w:t>
      </w:r>
      <w:r w:rsidR="004A7F9D" w:rsidRPr="00317203">
        <w:rPr>
          <w:rFonts w:ascii="Futura Lt BT" w:hAnsi="Futura Lt BT" w:cs="Courier New"/>
          <w:sz w:val="24"/>
          <w:szCs w:val="24"/>
          <w:lang w:val="es-MX"/>
        </w:rPr>
        <w:t xml:space="preserve"> interanual de </w:t>
      </w:r>
      <w:r w:rsidR="004A7F9D">
        <w:rPr>
          <w:rFonts w:ascii="Futura Lt BT" w:hAnsi="Futura Lt BT" w:cs="Courier New"/>
          <w:sz w:val="24"/>
          <w:szCs w:val="24"/>
          <w:lang w:val="es-MX"/>
        </w:rPr>
        <w:t>1</w:t>
      </w:r>
      <w:r w:rsidR="004A7F9D" w:rsidRPr="00317203">
        <w:rPr>
          <w:rFonts w:ascii="Futura Lt BT" w:hAnsi="Futura Lt BT" w:cs="Courier New"/>
          <w:sz w:val="24"/>
          <w:szCs w:val="24"/>
          <w:lang w:val="es-MX"/>
        </w:rPr>
        <w:t>.</w:t>
      </w:r>
      <w:r w:rsidR="004A7F9D">
        <w:rPr>
          <w:rFonts w:ascii="Futura Lt BT" w:hAnsi="Futura Lt BT" w:cs="Courier New"/>
          <w:sz w:val="24"/>
          <w:szCs w:val="24"/>
          <w:lang w:val="es-MX"/>
        </w:rPr>
        <w:t>2</w:t>
      </w:r>
      <w:r w:rsidR="004A7F9D" w:rsidRPr="00317203">
        <w:rPr>
          <w:rFonts w:ascii="Futura Lt BT" w:hAnsi="Futura Lt BT" w:cs="Courier New"/>
          <w:sz w:val="24"/>
          <w:szCs w:val="24"/>
          <w:lang w:val="es-MX"/>
        </w:rPr>
        <w:t xml:space="preserve"> por ciento</w:t>
      </w:r>
      <w:r w:rsidR="004A7F9D">
        <w:rPr>
          <w:rFonts w:ascii="Futura Lt BT" w:hAnsi="Futura Lt BT" w:cs="Courier New"/>
          <w:sz w:val="24"/>
          <w:szCs w:val="24"/>
          <w:lang w:val="es-MX"/>
        </w:rPr>
        <w:t>,</w:t>
      </w:r>
      <w:r w:rsidR="004A7F9D" w:rsidRPr="00CE5458">
        <w:rPr>
          <w:rFonts w:ascii="Futura Lt BT" w:hAnsi="Futura Lt BT" w:cs="Courier New"/>
          <w:sz w:val="24"/>
          <w:szCs w:val="24"/>
          <w:lang w:val="es-MX"/>
        </w:rPr>
        <w:t xml:space="preserve"> debido principalmente </w:t>
      </w:r>
      <w:r w:rsidR="00852833">
        <w:rPr>
          <w:rFonts w:ascii="Futura Lt BT" w:hAnsi="Futura Lt BT" w:cs="Courier New"/>
          <w:sz w:val="24"/>
          <w:szCs w:val="24"/>
          <w:lang w:val="es-MX"/>
        </w:rPr>
        <w:t xml:space="preserve">por menores </w:t>
      </w:r>
      <w:r w:rsidR="00120BAF">
        <w:rPr>
          <w:rFonts w:ascii="Futura Lt BT" w:hAnsi="Futura Lt BT" w:cs="Courier New"/>
          <w:sz w:val="24"/>
          <w:szCs w:val="24"/>
          <w:lang w:val="es-MX"/>
        </w:rPr>
        <w:t>exportaciones d</w:t>
      </w:r>
      <w:r w:rsidR="00852833">
        <w:rPr>
          <w:rFonts w:ascii="Futura Lt BT" w:hAnsi="Futura Lt BT" w:cs="Courier New"/>
          <w:sz w:val="24"/>
          <w:szCs w:val="24"/>
          <w:lang w:val="es-MX"/>
        </w:rPr>
        <w:t xml:space="preserve">el sector agropecuario </w:t>
      </w:r>
      <w:r w:rsidR="004F5532">
        <w:rPr>
          <w:rFonts w:ascii="Futura Lt BT" w:hAnsi="Futura Lt BT" w:cs="Courier New"/>
          <w:sz w:val="24"/>
          <w:szCs w:val="24"/>
          <w:lang w:val="es-MX"/>
        </w:rPr>
        <w:t xml:space="preserve">y </w:t>
      </w:r>
      <w:r w:rsidR="00852833">
        <w:rPr>
          <w:rFonts w:ascii="Futura Lt BT" w:hAnsi="Futura Lt BT" w:cs="Courier New"/>
          <w:sz w:val="24"/>
          <w:szCs w:val="24"/>
          <w:lang w:val="es-MX"/>
        </w:rPr>
        <w:t>pes</w:t>
      </w:r>
      <w:r w:rsidR="00103960">
        <w:rPr>
          <w:rFonts w:ascii="Futura Lt BT" w:hAnsi="Futura Lt BT" w:cs="Courier New"/>
          <w:sz w:val="24"/>
          <w:szCs w:val="24"/>
          <w:lang w:val="es-MX"/>
        </w:rPr>
        <w:t>quero</w:t>
      </w:r>
      <w:r w:rsidR="00120BAF">
        <w:rPr>
          <w:rFonts w:ascii="Futura Lt BT" w:hAnsi="Futura Lt BT" w:cs="Courier New"/>
          <w:sz w:val="24"/>
          <w:szCs w:val="24"/>
          <w:lang w:val="es-MX"/>
        </w:rPr>
        <w:t xml:space="preserve">, </w:t>
      </w:r>
      <w:r w:rsidR="004F5532">
        <w:rPr>
          <w:rFonts w:ascii="Futura Lt BT" w:hAnsi="Futura Lt BT" w:cs="Courier New"/>
          <w:sz w:val="24"/>
          <w:szCs w:val="24"/>
          <w:lang w:val="es-MX"/>
        </w:rPr>
        <w:t>atenuado por el aumento de las exportaciones del sector minero</w:t>
      </w:r>
      <w:r w:rsidR="009D1834">
        <w:rPr>
          <w:rFonts w:ascii="Futura Lt BT" w:hAnsi="Futura Lt BT" w:cs="Courier New"/>
          <w:sz w:val="24"/>
          <w:szCs w:val="24"/>
          <w:lang w:val="es-MX"/>
        </w:rPr>
        <w:t>. P</w:t>
      </w:r>
      <w:r w:rsidR="004A7F9D">
        <w:rPr>
          <w:rFonts w:ascii="Futura Lt BT" w:hAnsi="Futura Lt BT" w:cs="Courier New"/>
          <w:sz w:val="24"/>
          <w:szCs w:val="24"/>
          <w:lang w:val="es-MX"/>
        </w:rPr>
        <w:t xml:space="preserve">or su parte, </w:t>
      </w:r>
      <w:r w:rsidR="004A7F9D" w:rsidRPr="00317203">
        <w:rPr>
          <w:rFonts w:ascii="Futura Lt BT" w:hAnsi="Futura Lt BT" w:cs="Courier New"/>
          <w:sz w:val="24"/>
          <w:szCs w:val="24"/>
          <w:lang w:val="es-MX"/>
        </w:rPr>
        <w:t xml:space="preserve">las importaciones </w:t>
      </w:r>
      <w:r w:rsidR="004A7F9D">
        <w:rPr>
          <w:rFonts w:ascii="Futura Lt BT" w:hAnsi="Futura Lt BT" w:cs="Courier New"/>
          <w:sz w:val="24"/>
          <w:szCs w:val="24"/>
          <w:lang w:val="es-MX"/>
        </w:rPr>
        <w:t>acumuladas totalizaron en 4</w:t>
      </w:r>
      <w:r w:rsidR="004A7F9D" w:rsidRPr="00317203">
        <w:rPr>
          <w:rFonts w:ascii="Futura Lt BT" w:hAnsi="Futura Lt BT" w:cs="Courier New"/>
          <w:sz w:val="24"/>
          <w:szCs w:val="24"/>
          <w:lang w:val="es-MX"/>
        </w:rPr>
        <w:t>,</w:t>
      </w:r>
      <w:r w:rsidR="004A7F9D">
        <w:rPr>
          <w:rFonts w:ascii="Futura Lt BT" w:hAnsi="Futura Lt BT" w:cs="Courier New"/>
          <w:sz w:val="24"/>
          <w:szCs w:val="24"/>
          <w:lang w:val="es-MX"/>
        </w:rPr>
        <w:t>879</w:t>
      </w:r>
      <w:r w:rsidR="004A7F9D" w:rsidRPr="00317203">
        <w:rPr>
          <w:rFonts w:ascii="Futura Lt BT" w:hAnsi="Futura Lt BT" w:cs="Courier New"/>
          <w:sz w:val="24"/>
          <w:szCs w:val="24"/>
          <w:lang w:val="es-MX"/>
        </w:rPr>
        <w:t>.</w:t>
      </w:r>
      <w:r w:rsidR="004A7F9D">
        <w:rPr>
          <w:rFonts w:ascii="Futura Lt BT" w:hAnsi="Futura Lt BT" w:cs="Courier New"/>
          <w:sz w:val="24"/>
          <w:szCs w:val="24"/>
          <w:lang w:val="es-MX"/>
        </w:rPr>
        <w:t>3</w:t>
      </w:r>
      <w:r w:rsidR="004A7F9D" w:rsidRPr="00317203">
        <w:rPr>
          <w:rFonts w:ascii="Futura Lt BT" w:hAnsi="Futura Lt BT" w:cs="Courier New"/>
          <w:sz w:val="24"/>
          <w:szCs w:val="24"/>
          <w:lang w:val="es-MX"/>
        </w:rPr>
        <w:t xml:space="preserve"> millones</w:t>
      </w:r>
      <w:r w:rsidR="004A7F9D">
        <w:rPr>
          <w:rFonts w:ascii="Futura Lt BT" w:hAnsi="Futura Lt BT" w:cs="Courier New"/>
          <w:sz w:val="24"/>
          <w:szCs w:val="24"/>
          <w:lang w:val="es-MX"/>
        </w:rPr>
        <w:t>, siendo superiores en 9.3</w:t>
      </w:r>
      <w:r w:rsidR="004A7F9D" w:rsidRPr="00317203">
        <w:rPr>
          <w:rFonts w:ascii="Futura Lt BT" w:hAnsi="Futura Lt BT" w:cs="Courier New"/>
          <w:sz w:val="24"/>
          <w:szCs w:val="24"/>
          <w:lang w:val="es-MX"/>
        </w:rPr>
        <w:t xml:space="preserve"> por ciento</w:t>
      </w:r>
      <w:r w:rsidR="004A7F9D">
        <w:rPr>
          <w:rFonts w:ascii="Futura Lt BT" w:hAnsi="Futura Lt BT" w:cs="Courier New"/>
          <w:sz w:val="24"/>
          <w:szCs w:val="24"/>
          <w:lang w:val="es-MX"/>
        </w:rPr>
        <w:t xml:space="preserve"> </w:t>
      </w:r>
      <w:r w:rsidR="00893692">
        <w:rPr>
          <w:rFonts w:ascii="Futura Lt BT" w:hAnsi="Futura Lt BT" w:cs="Courier New"/>
          <w:sz w:val="24"/>
          <w:szCs w:val="24"/>
          <w:lang w:val="es-MX"/>
        </w:rPr>
        <w:t>a las registradas en e</w:t>
      </w:r>
      <w:r w:rsidR="00634AF0">
        <w:rPr>
          <w:rFonts w:ascii="Futura Lt BT" w:hAnsi="Futura Lt BT" w:cs="Courier New"/>
          <w:sz w:val="24"/>
          <w:szCs w:val="24"/>
          <w:lang w:val="es-MX"/>
        </w:rPr>
        <w:t xml:space="preserve">l </w:t>
      </w:r>
      <w:r w:rsidR="002573F9">
        <w:rPr>
          <w:rFonts w:ascii="Futura Lt BT" w:hAnsi="Futura Lt BT" w:cs="Courier New"/>
          <w:sz w:val="24"/>
          <w:szCs w:val="24"/>
          <w:lang w:val="es-MX"/>
        </w:rPr>
        <w:t>primer semestre</w:t>
      </w:r>
      <w:r w:rsidR="00634AF0">
        <w:rPr>
          <w:rFonts w:ascii="Futura Lt BT" w:hAnsi="Futura Lt BT" w:cs="Courier New"/>
          <w:sz w:val="24"/>
          <w:szCs w:val="24"/>
          <w:lang w:val="es-MX"/>
        </w:rPr>
        <w:t xml:space="preserve"> </w:t>
      </w:r>
      <w:r w:rsidR="00893692">
        <w:rPr>
          <w:rFonts w:ascii="Futura Lt BT" w:hAnsi="Futura Lt BT" w:cs="Courier New"/>
          <w:sz w:val="24"/>
          <w:szCs w:val="24"/>
          <w:lang w:val="es-MX"/>
        </w:rPr>
        <w:t>de</w:t>
      </w:r>
      <w:r w:rsidR="004A7F9D">
        <w:rPr>
          <w:rFonts w:ascii="Futura Lt BT" w:hAnsi="Futura Lt BT" w:cs="Courier New"/>
          <w:sz w:val="24"/>
          <w:szCs w:val="24"/>
          <w:lang w:val="es-MX"/>
        </w:rPr>
        <w:t xml:space="preserve"> 2023, asociado </w:t>
      </w:r>
      <w:r w:rsidR="003E5C4D">
        <w:rPr>
          <w:rFonts w:ascii="Futura Lt BT" w:hAnsi="Futura Lt BT" w:cs="Courier New"/>
          <w:sz w:val="24"/>
          <w:szCs w:val="24"/>
          <w:lang w:val="es-MX"/>
        </w:rPr>
        <w:t xml:space="preserve">con el aumento de </w:t>
      </w:r>
      <w:r w:rsidR="002335EB">
        <w:rPr>
          <w:rFonts w:ascii="Futura Lt BT" w:hAnsi="Futura Lt BT" w:cs="Courier New"/>
          <w:sz w:val="24"/>
          <w:szCs w:val="24"/>
          <w:lang w:val="es-MX"/>
        </w:rPr>
        <w:t xml:space="preserve">bienes de capital y </w:t>
      </w:r>
      <w:r w:rsidR="004A7F9D">
        <w:rPr>
          <w:rFonts w:ascii="Futura Lt BT" w:hAnsi="Futura Lt BT" w:cs="Courier New"/>
          <w:sz w:val="24"/>
          <w:szCs w:val="24"/>
          <w:lang w:val="es-MX"/>
        </w:rPr>
        <w:t>materias primas para los sectores de agropecuario, construcción,</w:t>
      </w:r>
      <w:r w:rsidR="003E5C4D">
        <w:rPr>
          <w:rFonts w:ascii="Futura Lt BT" w:hAnsi="Futura Lt BT" w:cs="Courier New"/>
          <w:sz w:val="24"/>
          <w:szCs w:val="24"/>
          <w:lang w:val="es-MX"/>
        </w:rPr>
        <w:t xml:space="preserve"> e</w:t>
      </w:r>
      <w:r w:rsidR="004A7F9D">
        <w:rPr>
          <w:rFonts w:ascii="Futura Lt BT" w:hAnsi="Futura Lt BT" w:cs="Courier New"/>
          <w:sz w:val="24"/>
          <w:szCs w:val="24"/>
          <w:lang w:val="es-MX"/>
        </w:rPr>
        <w:t xml:space="preserve"> industria, </w:t>
      </w:r>
      <w:r w:rsidR="001C15BE">
        <w:rPr>
          <w:rFonts w:ascii="Futura Lt BT" w:hAnsi="Futura Lt BT" w:cs="Courier New"/>
          <w:sz w:val="24"/>
          <w:szCs w:val="24"/>
          <w:lang w:val="es-MX"/>
        </w:rPr>
        <w:t xml:space="preserve">así como en </w:t>
      </w:r>
      <w:r w:rsidR="004A7F9D">
        <w:rPr>
          <w:rFonts w:ascii="Futura Lt BT" w:hAnsi="Futura Lt BT" w:cs="Courier New"/>
          <w:sz w:val="24"/>
          <w:szCs w:val="24"/>
          <w:lang w:val="es-MX"/>
        </w:rPr>
        <w:t xml:space="preserve">petróleo y derivados, entre otros. </w:t>
      </w:r>
      <w:bookmarkStart w:id="1" w:name="_Hlk157154231"/>
      <w:bookmarkStart w:id="2" w:name="_Hlk157154299"/>
      <w:bookmarkEnd w:id="0"/>
    </w:p>
    <w:p w:rsidR="00DA1EAC" w:rsidRDefault="00C75C85" w:rsidP="00DA1EAC">
      <w:pPr>
        <w:spacing w:line="276" w:lineRule="auto"/>
        <w:jc w:val="both"/>
        <w:rPr>
          <w:rFonts w:ascii="Futura Lt BT" w:hAnsi="Futura Lt BT" w:cs="Courier New"/>
          <w:sz w:val="24"/>
          <w:szCs w:val="24"/>
          <w:lang w:val="es-MX"/>
        </w:rPr>
      </w:pPr>
      <w:r w:rsidRPr="00A75819">
        <w:rPr>
          <w:rFonts w:ascii="Futura Lt BT" w:hAnsi="Futura Lt BT" w:cs="Courier New"/>
          <w:sz w:val="24"/>
          <w:szCs w:val="24"/>
          <w:lang w:val="es-MX"/>
        </w:rPr>
        <w:t xml:space="preserve">En </w:t>
      </w:r>
      <w:r>
        <w:rPr>
          <w:rFonts w:ascii="Futura Lt BT" w:hAnsi="Futura Lt BT" w:cs="Courier New"/>
          <w:sz w:val="24"/>
          <w:szCs w:val="24"/>
          <w:lang w:val="es-MX"/>
        </w:rPr>
        <w:t xml:space="preserve">el comercio de </w:t>
      </w:r>
      <w:r w:rsidRPr="00A75819">
        <w:rPr>
          <w:rFonts w:ascii="Futura Lt BT" w:hAnsi="Futura Lt BT" w:cs="Courier New"/>
          <w:sz w:val="24"/>
          <w:szCs w:val="24"/>
          <w:lang w:val="es-MX"/>
        </w:rPr>
        <w:t xml:space="preserve">servicios, </w:t>
      </w:r>
      <w:r w:rsidR="00552848">
        <w:rPr>
          <w:rFonts w:ascii="Futura Lt BT" w:hAnsi="Futura Lt BT" w:cs="Courier New"/>
          <w:sz w:val="24"/>
          <w:szCs w:val="24"/>
          <w:lang w:val="es-MX"/>
        </w:rPr>
        <w:t xml:space="preserve">se registró </w:t>
      </w:r>
      <w:r w:rsidR="00301D67">
        <w:rPr>
          <w:rFonts w:ascii="Futura Lt BT" w:hAnsi="Futura Lt BT" w:cs="Courier New"/>
          <w:sz w:val="24"/>
          <w:szCs w:val="24"/>
          <w:lang w:val="es-MX"/>
        </w:rPr>
        <w:t xml:space="preserve">en el trimestre </w:t>
      </w:r>
      <w:r w:rsidR="003E5C4D">
        <w:rPr>
          <w:rFonts w:ascii="Futura Lt BT" w:hAnsi="Futura Lt BT" w:cs="Courier New"/>
          <w:sz w:val="24"/>
          <w:szCs w:val="24"/>
          <w:lang w:val="es-MX"/>
        </w:rPr>
        <w:t xml:space="preserve">exportaciones de 327.8 millones de dólares e importaciones de 306.7 millones, para </w:t>
      </w:r>
      <w:r w:rsidR="00A87116">
        <w:rPr>
          <w:rFonts w:ascii="Futura Lt BT" w:hAnsi="Futura Lt BT" w:cs="Courier New"/>
          <w:sz w:val="24"/>
          <w:szCs w:val="24"/>
          <w:lang w:val="es-MX"/>
        </w:rPr>
        <w:t>un superávit de 21.1 millones de dólares (US$73.2 millones en el segundo trimestre de 2023)</w:t>
      </w:r>
      <w:r w:rsidR="00247266">
        <w:rPr>
          <w:rFonts w:ascii="Futura Lt BT" w:hAnsi="Futura Lt BT" w:cs="Courier New"/>
          <w:sz w:val="24"/>
          <w:szCs w:val="24"/>
          <w:lang w:val="es-MX"/>
        </w:rPr>
        <w:t xml:space="preserve">. </w:t>
      </w:r>
      <w:r w:rsidR="0003181B">
        <w:rPr>
          <w:rFonts w:ascii="Futura Lt BT" w:hAnsi="Futura Lt BT" w:cs="Courier New"/>
          <w:sz w:val="24"/>
          <w:szCs w:val="24"/>
          <w:lang w:val="es-MX"/>
        </w:rPr>
        <w:t xml:space="preserve">Al mes de junio, </w:t>
      </w:r>
      <w:r w:rsidR="003E5C4D">
        <w:rPr>
          <w:rFonts w:ascii="Futura Lt BT" w:hAnsi="Futura Lt BT" w:cs="Courier New"/>
          <w:sz w:val="24"/>
          <w:szCs w:val="24"/>
          <w:lang w:val="es-MX"/>
        </w:rPr>
        <w:t>las exportaciones de servicios sumaron 662.0 millones de dólares</w:t>
      </w:r>
      <w:r w:rsidR="0098563C">
        <w:rPr>
          <w:rFonts w:ascii="Futura Lt BT" w:hAnsi="Futura Lt BT" w:cs="Courier New"/>
          <w:sz w:val="24"/>
          <w:szCs w:val="24"/>
          <w:lang w:val="es-MX"/>
        </w:rPr>
        <w:t xml:space="preserve">, </w:t>
      </w:r>
      <w:r w:rsidR="003E5C4D">
        <w:rPr>
          <w:rFonts w:ascii="Futura Lt BT" w:hAnsi="Futura Lt BT" w:cs="Courier New"/>
          <w:sz w:val="24"/>
          <w:szCs w:val="24"/>
          <w:lang w:val="es-MX"/>
        </w:rPr>
        <w:t xml:space="preserve">del cual el ingreso por turismo aportó </w:t>
      </w:r>
      <w:r w:rsidR="00301D67">
        <w:rPr>
          <w:rFonts w:ascii="Futura Lt BT" w:hAnsi="Futura Lt BT" w:cs="Courier New"/>
          <w:sz w:val="24"/>
          <w:szCs w:val="24"/>
          <w:lang w:val="es-MX"/>
        </w:rPr>
        <w:t>el 41.0 por ciento (US$</w:t>
      </w:r>
      <w:r w:rsidR="003E5C4D">
        <w:rPr>
          <w:rFonts w:ascii="Futura Lt BT" w:hAnsi="Futura Lt BT" w:cs="Courier New"/>
          <w:sz w:val="24"/>
          <w:szCs w:val="24"/>
          <w:lang w:val="es-MX"/>
        </w:rPr>
        <w:t>270.9</w:t>
      </w:r>
      <w:r w:rsidR="003E5C4D" w:rsidRPr="00A75819">
        <w:rPr>
          <w:rFonts w:ascii="Futura Lt BT" w:hAnsi="Futura Lt BT" w:cs="Courier New"/>
          <w:sz w:val="24"/>
          <w:szCs w:val="24"/>
          <w:lang w:val="es-MX"/>
        </w:rPr>
        <w:t xml:space="preserve"> millones</w:t>
      </w:r>
      <w:r w:rsidR="00301D67">
        <w:rPr>
          <w:rFonts w:ascii="Futura Lt BT" w:hAnsi="Futura Lt BT" w:cs="Courier New"/>
          <w:sz w:val="24"/>
          <w:szCs w:val="24"/>
          <w:lang w:val="es-MX"/>
        </w:rPr>
        <w:t>)</w:t>
      </w:r>
      <w:r w:rsidR="003E5C4D">
        <w:rPr>
          <w:rFonts w:ascii="Futura Lt BT" w:hAnsi="Futura Lt BT" w:cs="Courier New"/>
          <w:sz w:val="24"/>
          <w:szCs w:val="24"/>
          <w:lang w:val="es-MX"/>
        </w:rPr>
        <w:t xml:space="preserve">, </w:t>
      </w:r>
      <w:r w:rsidR="00301D67">
        <w:rPr>
          <w:rFonts w:ascii="Futura Lt BT" w:hAnsi="Futura Lt BT" w:cs="Courier New"/>
          <w:sz w:val="24"/>
          <w:szCs w:val="24"/>
          <w:lang w:val="es-MX"/>
        </w:rPr>
        <w:t xml:space="preserve">los que disminuyeron en 5.0 por cientos </w:t>
      </w:r>
      <w:r w:rsidR="0098563C">
        <w:rPr>
          <w:rFonts w:ascii="Futura Lt BT" w:hAnsi="Futura Lt BT" w:cs="Courier New"/>
          <w:sz w:val="24"/>
          <w:szCs w:val="24"/>
          <w:lang w:val="es-MX"/>
        </w:rPr>
        <w:t xml:space="preserve">interanualmente; </w:t>
      </w:r>
      <w:r w:rsidR="003A0D3B">
        <w:rPr>
          <w:rFonts w:ascii="Futura Lt BT" w:hAnsi="Futura Lt BT" w:cs="Courier New"/>
          <w:sz w:val="24"/>
          <w:szCs w:val="24"/>
          <w:lang w:val="es-MX"/>
        </w:rPr>
        <w:t xml:space="preserve">adicionalmente se registró </w:t>
      </w:r>
      <w:r w:rsidR="0098563C">
        <w:rPr>
          <w:rFonts w:ascii="Futura Lt BT" w:hAnsi="Futura Lt BT" w:cs="Courier New"/>
          <w:sz w:val="24"/>
          <w:szCs w:val="24"/>
          <w:lang w:val="es-MX"/>
        </w:rPr>
        <w:t xml:space="preserve">servicios de manufactura bajo zona franca </w:t>
      </w:r>
      <w:r w:rsidR="003A0D3B">
        <w:rPr>
          <w:rFonts w:ascii="Futura Lt BT" w:hAnsi="Futura Lt BT" w:cs="Courier New"/>
          <w:sz w:val="24"/>
          <w:szCs w:val="24"/>
          <w:lang w:val="es-MX"/>
        </w:rPr>
        <w:t xml:space="preserve">por </w:t>
      </w:r>
      <w:r w:rsidR="0098563C">
        <w:rPr>
          <w:rFonts w:ascii="Futura Lt BT" w:hAnsi="Futura Lt BT" w:cs="Courier New"/>
          <w:sz w:val="24"/>
          <w:szCs w:val="24"/>
          <w:lang w:val="es-MX"/>
        </w:rPr>
        <w:t>127.2 millones</w:t>
      </w:r>
      <w:r w:rsidR="003A0D3B">
        <w:rPr>
          <w:rFonts w:ascii="Futura Lt BT" w:hAnsi="Futura Lt BT" w:cs="Courier New"/>
          <w:sz w:val="24"/>
          <w:szCs w:val="24"/>
          <w:lang w:val="es-MX"/>
        </w:rPr>
        <w:t xml:space="preserve"> de dólares</w:t>
      </w:r>
      <w:r w:rsidR="0098563C">
        <w:rPr>
          <w:rFonts w:ascii="Futura Lt BT" w:hAnsi="Futura Lt BT" w:cs="Courier New"/>
          <w:sz w:val="24"/>
          <w:szCs w:val="24"/>
          <w:lang w:val="es-MX"/>
        </w:rPr>
        <w:t xml:space="preserve">, menores en 6.0 por </w:t>
      </w:r>
      <w:r w:rsidR="0098563C" w:rsidRPr="00775817">
        <w:rPr>
          <w:rFonts w:ascii="Futura Lt BT" w:hAnsi="Futura Lt BT" w:cs="Courier New"/>
          <w:sz w:val="24"/>
          <w:szCs w:val="24"/>
          <w:lang w:val="es-MX"/>
        </w:rPr>
        <w:t>ciento respecto a igual periodo de 2023;</w:t>
      </w:r>
      <w:r w:rsidR="003A0D3B" w:rsidRPr="00775817">
        <w:rPr>
          <w:rFonts w:ascii="Futura Lt BT" w:hAnsi="Futura Lt BT" w:cs="Courier New"/>
          <w:sz w:val="24"/>
          <w:szCs w:val="24"/>
          <w:lang w:val="es-MX"/>
        </w:rPr>
        <w:t xml:space="preserve"> e ingresos por servicios de t</w:t>
      </w:r>
      <w:bookmarkStart w:id="3" w:name="_GoBack"/>
      <w:bookmarkEnd w:id="3"/>
      <w:r w:rsidR="003A0D3B" w:rsidRPr="00775817">
        <w:rPr>
          <w:rFonts w:ascii="Futura Lt BT" w:hAnsi="Futura Lt BT" w:cs="Courier New"/>
          <w:sz w:val="24"/>
          <w:szCs w:val="24"/>
          <w:lang w:val="es-MX"/>
        </w:rPr>
        <w:t xml:space="preserve">elecomunicaciones (US$115.5 millones), con disminución interanual de 19.2 por ciento. </w:t>
      </w:r>
      <w:r w:rsidR="009D1834">
        <w:rPr>
          <w:rFonts w:ascii="Futura Lt BT" w:hAnsi="Futura Lt BT" w:cs="Courier New"/>
          <w:sz w:val="24"/>
          <w:szCs w:val="24"/>
          <w:lang w:val="es-MX"/>
        </w:rPr>
        <w:t xml:space="preserve">Entre tanto, </w:t>
      </w:r>
      <w:r w:rsidR="00775817" w:rsidRPr="00775817">
        <w:rPr>
          <w:rFonts w:ascii="Futura Lt BT" w:hAnsi="Futura Lt BT" w:cs="Courier New"/>
          <w:sz w:val="24"/>
          <w:szCs w:val="24"/>
          <w:lang w:val="es-MX"/>
        </w:rPr>
        <w:t>las importaciones de servicios acumuladas en el periodo fu</w:t>
      </w:r>
      <w:r w:rsidR="00775817">
        <w:rPr>
          <w:rFonts w:ascii="Futura Lt BT" w:hAnsi="Futura Lt BT" w:cs="Courier New"/>
          <w:sz w:val="24"/>
          <w:szCs w:val="24"/>
          <w:lang w:val="es-MX"/>
        </w:rPr>
        <w:t>eron</w:t>
      </w:r>
      <w:r w:rsidR="003A0D3B" w:rsidRPr="00775817">
        <w:rPr>
          <w:rFonts w:ascii="Futura Lt BT" w:hAnsi="Futura Lt BT" w:cs="Courier New"/>
          <w:sz w:val="24"/>
          <w:szCs w:val="24"/>
          <w:lang w:val="es-MX"/>
        </w:rPr>
        <w:t xml:space="preserve"> </w:t>
      </w:r>
      <w:r w:rsidR="003F4EDD" w:rsidRPr="00775817">
        <w:rPr>
          <w:rFonts w:ascii="Futura Lt BT" w:hAnsi="Futura Lt BT" w:cs="Courier New"/>
          <w:sz w:val="24"/>
          <w:szCs w:val="24"/>
          <w:lang w:val="es-MX"/>
        </w:rPr>
        <w:t>de</w:t>
      </w:r>
      <w:r w:rsidR="00DF77D6" w:rsidRPr="00775817">
        <w:rPr>
          <w:rFonts w:ascii="Futura Lt BT" w:hAnsi="Futura Lt BT" w:cs="Courier New"/>
          <w:sz w:val="24"/>
          <w:szCs w:val="24"/>
          <w:lang w:val="es-MX"/>
        </w:rPr>
        <w:t xml:space="preserve"> 602.0 millones de dólares, </w:t>
      </w:r>
      <w:r w:rsidR="003A0D3B" w:rsidRPr="00775817">
        <w:rPr>
          <w:rFonts w:ascii="Futura Lt BT" w:hAnsi="Futura Lt BT" w:cs="Courier New"/>
          <w:sz w:val="24"/>
          <w:szCs w:val="24"/>
          <w:lang w:val="es-MX"/>
        </w:rPr>
        <w:t>mayores</w:t>
      </w:r>
      <w:r w:rsidR="003A0D3B">
        <w:rPr>
          <w:rFonts w:ascii="Futura Lt BT" w:hAnsi="Futura Lt BT" w:cs="Courier New"/>
          <w:sz w:val="24"/>
          <w:szCs w:val="24"/>
          <w:lang w:val="es-MX"/>
        </w:rPr>
        <w:t xml:space="preserve"> en 15.1 por ciento respecto a igual periodo de 2023, </w:t>
      </w:r>
      <w:r w:rsidR="00200838">
        <w:rPr>
          <w:rFonts w:ascii="Futura Lt BT" w:hAnsi="Futura Lt BT" w:cs="Courier New"/>
          <w:sz w:val="24"/>
          <w:szCs w:val="24"/>
          <w:lang w:val="es-MX"/>
        </w:rPr>
        <w:t xml:space="preserve">destacándose los gastos </w:t>
      </w:r>
      <w:r w:rsidR="005D413A">
        <w:rPr>
          <w:rFonts w:ascii="Futura Lt BT" w:hAnsi="Futura Lt BT" w:cs="Courier New"/>
          <w:sz w:val="24"/>
          <w:szCs w:val="24"/>
          <w:lang w:val="es-MX"/>
        </w:rPr>
        <w:t xml:space="preserve">por </w:t>
      </w:r>
      <w:r w:rsidR="00775817">
        <w:rPr>
          <w:rFonts w:ascii="Futura Lt BT" w:hAnsi="Futura Lt BT" w:cs="Courier New"/>
          <w:sz w:val="24"/>
          <w:szCs w:val="24"/>
          <w:lang w:val="es-MX"/>
        </w:rPr>
        <w:t>servicios de transporte de carga y pasajeros (US$335.4)</w:t>
      </w:r>
      <w:r w:rsidR="00200838">
        <w:rPr>
          <w:rFonts w:ascii="Futura Lt BT" w:hAnsi="Futura Lt BT" w:cs="Courier New"/>
          <w:sz w:val="24"/>
          <w:szCs w:val="24"/>
          <w:lang w:val="es-MX"/>
        </w:rPr>
        <w:t>, y de los turistas nacionales en el exterior (US$97.8 millones), los cuales aumentaron interanualmente en 8.3 y 52.6 por ciento, respectivamente</w:t>
      </w:r>
      <w:r w:rsidR="00775817">
        <w:rPr>
          <w:rFonts w:ascii="Futura Lt BT" w:hAnsi="Futura Lt BT" w:cs="Courier New"/>
          <w:sz w:val="24"/>
          <w:szCs w:val="24"/>
          <w:lang w:val="es-MX"/>
        </w:rPr>
        <w:t xml:space="preserve">. Así, el resultado acumulado del comercio de servicio fue superavitario en </w:t>
      </w:r>
      <w:r w:rsidR="00247266">
        <w:rPr>
          <w:rFonts w:ascii="Futura Lt BT" w:hAnsi="Futura Lt BT" w:cs="Courier New"/>
          <w:sz w:val="24"/>
          <w:szCs w:val="24"/>
          <w:lang w:val="es-MX"/>
        </w:rPr>
        <w:t>60.0 millones de dólares</w:t>
      </w:r>
      <w:r w:rsidR="00247266" w:rsidRPr="00CE5458">
        <w:rPr>
          <w:rFonts w:ascii="Futura Lt BT" w:hAnsi="Futura Lt BT" w:cs="Courier New"/>
          <w:sz w:val="24"/>
          <w:szCs w:val="24"/>
          <w:lang w:val="es-MX"/>
        </w:rPr>
        <w:t>.</w:t>
      </w:r>
      <w:r w:rsidR="00247266">
        <w:rPr>
          <w:rFonts w:ascii="Futura Lt BT" w:hAnsi="Futura Lt BT" w:cs="Courier New"/>
          <w:sz w:val="24"/>
          <w:szCs w:val="24"/>
          <w:lang w:val="es-MX"/>
        </w:rPr>
        <w:t xml:space="preserve">  </w:t>
      </w:r>
      <w:bookmarkEnd w:id="1"/>
      <w:bookmarkEnd w:id="2"/>
    </w:p>
    <w:p w:rsidR="00680B96" w:rsidRDefault="005D0504" w:rsidP="00DA1EAC">
      <w:pPr>
        <w:spacing w:line="276" w:lineRule="auto"/>
        <w:jc w:val="both"/>
        <w:rPr>
          <w:rFonts w:ascii="Futura Lt BT" w:hAnsi="Futura Lt BT" w:cs="Courier New"/>
          <w:sz w:val="24"/>
          <w:szCs w:val="24"/>
          <w:lang w:val="es-MX"/>
        </w:rPr>
      </w:pPr>
      <w:r>
        <w:rPr>
          <w:rFonts w:ascii="Futura Lt BT" w:hAnsi="Futura Lt BT" w:cs="Courier New"/>
          <w:sz w:val="24"/>
          <w:szCs w:val="24"/>
          <w:lang w:val="es-MX"/>
        </w:rPr>
        <w:t>Mientras que, en l</w:t>
      </w:r>
      <w:r w:rsidR="00DA1EAC">
        <w:rPr>
          <w:rFonts w:ascii="Futura Lt BT" w:hAnsi="Futura Lt BT" w:cs="Courier New"/>
          <w:sz w:val="24"/>
          <w:szCs w:val="24"/>
          <w:lang w:val="es-MX"/>
        </w:rPr>
        <w:t>a cuenta del ingreso primario</w:t>
      </w:r>
      <w:r w:rsidR="00E44636">
        <w:rPr>
          <w:rFonts w:ascii="Futura Lt BT" w:hAnsi="Futura Lt BT" w:cs="Courier New"/>
          <w:sz w:val="24"/>
          <w:szCs w:val="24"/>
          <w:lang w:val="es-MX"/>
        </w:rPr>
        <w:t>,</w:t>
      </w:r>
      <w:r w:rsidR="00DA1EAC">
        <w:rPr>
          <w:rFonts w:ascii="Futura Lt BT" w:hAnsi="Futura Lt BT" w:cs="Courier New"/>
          <w:sz w:val="24"/>
          <w:szCs w:val="24"/>
          <w:lang w:val="es-MX"/>
        </w:rPr>
        <w:t xml:space="preserve"> </w:t>
      </w:r>
      <w:r>
        <w:rPr>
          <w:rFonts w:ascii="Futura Lt BT" w:hAnsi="Futura Lt BT" w:cs="Courier New"/>
          <w:sz w:val="24"/>
          <w:szCs w:val="24"/>
          <w:lang w:val="es-MX"/>
        </w:rPr>
        <w:t xml:space="preserve">se </w:t>
      </w:r>
      <w:r w:rsidR="00DA1EAC">
        <w:rPr>
          <w:rFonts w:ascii="Futura Lt BT" w:hAnsi="Futura Lt BT" w:cs="Courier New"/>
          <w:sz w:val="24"/>
          <w:szCs w:val="24"/>
          <w:lang w:val="es-MX"/>
        </w:rPr>
        <w:t xml:space="preserve">registró un balance negativo de </w:t>
      </w:r>
      <w:r w:rsidR="00E81AC5">
        <w:rPr>
          <w:rFonts w:ascii="Futura Lt BT" w:hAnsi="Futura Lt BT" w:cs="Courier New"/>
          <w:sz w:val="24"/>
          <w:szCs w:val="24"/>
          <w:lang w:val="es-MX"/>
        </w:rPr>
        <w:t xml:space="preserve">233.3 </w:t>
      </w:r>
      <w:r w:rsidR="00DA1EAC">
        <w:rPr>
          <w:rFonts w:ascii="Futura Lt BT" w:hAnsi="Futura Lt BT" w:cs="Courier New"/>
          <w:sz w:val="24"/>
          <w:szCs w:val="24"/>
          <w:lang w:val="es-MX"/>
        </w:rPr>
        <w:t xml:space="preserve">millones de dólares en </w:t>
      </w:r>
      <w:r>
        <w:rPr>
          <w:rFonts w:ascii="Futura Lt BT" w:hAnsi="Futura Lt BT" w:cs="Courier New"/>
          <w:sz w:val="24"/>
          <w:szCs w:val="24"/>
          <w:lang w:val="es-MX"/>
        </w:rPr>
        <w:t xml:space="preserve">el </w:t>
      </w:r>
      <w:r w:rsidR="00DA1EAC">
        <w:rPr>
          <w:rFonts w:ascii="Futura Lt BT" w:hAnsi="Futura Lt BT" w:cs="Courier New"/>
          <w:sz w:val="24"/>
          <w:szCs w:val="24"/>
          <w:lang w:val="es-MX"/>
        </w:rPr>
        <w:t xml:space="preserve">trimestre de (-US$290.8 en igual período de 2023); </w:t>
      </w:r>
      <w:r w:rsidR="00DF77D6">
        <w:rPr>
          <w:rFonts w:ascii="Futura Lt BT" w:hAnsi="Futura Lt BT" w:cs="Courier New"/>
          <w:sz w:val="24"/>
          <w:szCs w:val="24"/>
          <w:lang w:val="es-MX"/>
        </w:rPr>
        <w:t xml:space="preserve">para un </w:t>
      </w:r>
      <w:r w:rsidR="00DF77D6">
        <w:rPr>
          <w:rFonts w:ascii="Futura Lt BT" w:hAnsi="Futura Lt BT" w:cs="Courier New"/>
          <w:sz w:val="24"/>
          <w:szCs w:val="24"/>
          <w:lang w:val="es-MX"/>
        </w:rPr>
        <w:lastRenderedPageBreak/>
        <w:t xml:space="preserve">déficit acumulado de </w:t>
      </w:r>
      <w:r w:rsidR="00720602">
        <w:rPr>
          <w:rFonts w:ascii="Futura Lt BT" w:hAnsi="Futura Lt BT" w:cs="Courier New"/>
          <w:sz w:val="24"/>
          <w:szCs w:val="24"/>
          <w:lang w:val="es-MX"/>
        </w:rPr>
        <w:t>556.3</w:t>
      </w:r>
      <w:r w:rsidR="00DA1EAC">
        <w:rPr>
          <w:rFonts w:ascii="Futura Lt BT" w:hAnsi="Futura Lt BT" w:cs="Courier New"/>
          <w:sz w:val="24"/>
          <w:szCs w:val="24"/>
          <w:lang w:val="es-MX"/>
        </w:rPr>
        <w:t xml:space="preserve"> millones de dólares (-US$597.1</w:t>
      </w:r>
      <w:r w:rsidR="00775817">
        <w:rPr>
          <w:rFonts w:ascii="Futura Lt BT" w:hAnsi="Futura Lt BT" w:cs="Courier New"/>
          <w:sz w:val="24"/>
          <w:szCs w:val="24"/>
          <w:lang w:val="es-MX"/>
        </w:rPr>
        <w:t xml:space="preserve"> </w:t>
      </w:r>
      <w:r w:rsidR="00DA1EAC">
        <w:rPr>
          <w:rFonts w:ascii="Futura Lt BT" w:hAnsi="Futura Lt BT" w:cs="Courier New"/>
          <w:sz w:val="24"/>
          <w:szCs w:val="24"/>
          <w:lang w:val="es-MX"/>
        </w:rPr>
        <w:t>millones en el primer semestre de 2023)</w:t>
      </w:r>
      <w:r w:rsidR="005F6E58">
        <w:rPr>
          <w:rFonts w:ascii="Futura Lt BT" w:hAnsi="Futura Lt BT" w:cs="Courier New"/>
          <w:sz w:val="24"/>
          <w:szCs w:val="24"/>
          <w:lang w:val="es-MX"/>
        </w:rPr>
        <w:t>,</w:t>
      </w:r>
      <w:r w:rsidR="00DA1EAC">
        <w:rPr>
          <w:rFonts w:ascii="Futura Lt BT" w:hAnsi="Futura Lt BT" w:cs="Courier New"/>
          <w:sz w:val="24"/>
          <w:szCs w:val="24"/>
          <w:lang w:val="es-MX"/>
        </w:rPr>
        <w:t xml:space="preserve"> </w:t>
      </w:r>
      <w:r>
        <w:rPr>
          <w:rFonts w:ascii="Futura Lt BT" w:hAnsi="Futura Lt BT" w:cs="Courier New"/>
          <w:sz w:val="24"/>
          <w:szCs w:val="24"/>
          <w:lang w:val="es-MX"/>
        </w:rPr>
        <w:t xml:space="preserve">derivado </w:t>
      </w:r>
      <w:r w:rsidR="00DF77D6">
        <w:rPr>
          <w:rFonts w:ascii="Futura Lt BT" w:hAnsi="Futura Lt BT" w:cs="Courier New"/>
          <w:sz w:val="24"/>
          <w:szCs w:val="24"/>
          <w:lang w:val="es-MX"/>
        </w:rPr>
        <w:t xml:space="preserve">principalmente </w:t>
      </w:r>
      <w:r w:rsidR="00775817">
        <w:rPr>
          <w:rFonts w:ascii="Futura Lt BT" w:hAnsi="Futura Lt BT" w:cs="Courier New"/>
          <w:sz w:val="24"/>
          <w:szCs w:val="24"/>
          <w:lang w:val="es-MX"/>
        </w:rPr>
        <w:t xml:space="preserve">por </w:t>
      </w:r>
      <w:r w:rsidR="00775817" w:rsidRPr="00775817">
        <w:rPr>
          <w:rFonts w:ascii="Futura Lt BT" w:hAnsi="Futura Lt BT" w:cs="Courier New"/>
          <w:sz w:val="24"/>
          <w:szCs w:val="24"/>
          <w:lang w:val="es-MX"/>
        </w:rPr>
        <w:t xml:space="preserve">los </w:t>
      </w:r>
      <w:r w:rsidRPr="00775817">
        <w:rPr>
          <w:rFonts w:ascii="Futura Lt BT" w:hAnsi="Futura Lt BT" w:cs="Courier New"/>
          <w:sz w:val="24"/>
          <w:szCs w:val="24"/>
          <w:lang w:val="es-MX"/>
        </w:rPr>
        <w:t xml:space="preserve">pagos </w:t>
      </w:r>
      <w:r w:rsidR="00DA1EAC" w:rsidRPr="00775817">
        <w:rPr>
          <w:rFonts w:ascii="Futura Lt BT" w:hAnsi="Futura Lt BT" w:cs="Courier New"/>
          <w:sz w:val="24"/>
          <w:szCs w:val="24"/>
          <w:lang w:val="es-MX"/>
        </w:rPr>
        <w:t>de renta de</w:t>
      </w:r>
      <w:r w:rsidR="00DA1EAC">
        <w:rPr>
          <w:rFonts w:ascii="Futura Lt BT" w:hAnsi="Futura Lt BT" w:cs="Courier New"/>
          <w:sz w:val="24"/>
          <w:szCs w:val="24"/>
          <w:lang w:val="es-MX"/>
        </w:rPr>
        <w:t xml:space="preserve"> la inversión directa</w:t>
      </w:r>
      <w:r w:rsidR="00DF77D6">
        <w:rPr>
          <w:rFonts w:ascii="Futura Lt BT" w:hAnsi="Futura Lt BT" w:cs="Courier New"/>
          <w:sz w:val="24"/>
          <w:szCs w:val="24"/>
          <w:lang w:val="es-MX"/>
        </w:rPr>
        <w:t xml:space="preserve"> e interés de la deuda externa total</w:t>
      </w:r>
      <w:r w:rsidR="000E0D9A">
        <w:rPr>
          <w:rFonts w:ascii="Futura Lt BT" w:hAnsi="Futura Lt BT" w:cs="Courier New"/>
          <w:sz w:val="24"/>
          <w:szCs w:val="24"/>
          <w:lang w:val="es-MX"/>
        </w:rPr>
        <w:t xml:space="preserve">; </w:t>
      </w:r>
      <w:r w:rsidR="007B3FB4">
        <w:rPr>
          <w:rFonts w:ascii="Futura Lt BT" w:hAnsi="Futura Lt BT" w:cs="Courier New"/>
          <w:sz w:val="24"/>
          <w:szCs w:val="24"/>
          <w:lang w:val="es-MX"/>
        </w:rPr>
        <w:t xml:space="preserve">en cambio, </w:t>
      </w:r>
      <w:r w:rsidR="000E0D9A">
        <w:rPr>
          <w:rFonts w:ascii="Futura Lt BT" w:hAnsi="Futura Lt BT" w:cs="Courier New"/>
          <w:sz w:val="24"/>
          <w:szCs w:val="24"/>
          <w:lang w:val="es-MX"/>
        </w:rPr>
        <w:t>e</w:t>
      </w:r>
      <w:r w:rsidR="009D1834">
        <w:rPr>
          <w:rFonts w:ascii="Futura Lt BT" w:hAnsi="Futura Lt BT" w:cs="Courier New"/>
          <w:sz w:val="24"/>
          <w:szCs w:val="24"/>
          <w:lang w:val="es-MX"/>
        </w:rPr>
        <w:t xml:space="preserve">n </w:t>
      </w:r>
      <w:r w:rsidR="006A3BFF">
        <w:rPr>
          <w:rFonts w:ascii="Futura Lt BT" w:hAnsi="Futura Lt BT" w:cs="Courier New"/>
          <w:sz w:val="24"/>
          <w:szCs w:val="24"/>
          <w:lang w:val="es-MX"/>
        </w:rPr>
        <w:t xml:space="preserve">la cuenta del </w:t>
      </w:r>
      <w:r w:rsidR="000B6199">
        <w:rPr>
          <w:rFonts w:ascii="Futura Lt BT" w:hAnsi="Futura Lt BT" w:cs="Courier New"/>
          <w:sz w:val="24"/>
          <w:szCs w:val="24"/>
          <w:lang w:val="es-MX"/>
        </w:rPr>
        <w:t>i</w:t>
      </w:r>
      <w:r w:rsidR="006A3BFF">
        <w:rPr>
          <w:rFonts w:ascii="Futura Lt BT" w:hAnsi="Futura Lt BT" w:cs="Courier New"/>
          <w:sz w:val="24"/>
          <w:szCs w:val="24"/>
          <w:lang w:val="es-MX"/>
        </w:rPr>
        <w:t>ngreso secundario</w:t>
      </w:r>
      <w:r w:rsidR="00DF77D6">
        <w:rPr>
          <w:rFonts w:ascii="Futura Lt BT" w:hAnsi="Futura Lt BT" w:cs="Courier New"/>
          <w:sz w:val="24"/>
          <w:szCs w:val="24"/>
          <w:lang w:val="es-MX"/>
        </w:rPr>
        <w:t>, se registr</w:t>
      </w:r>
      <w:r w:rsidR="00900EA5">
        <w:rPr>
          <w:rFonts w:ascii="Futura Lt BT" w:hAnsi="Futura Lt BT" w:cs="Courier New"/>
          <w:sz w:val="24"/>
          <w:szCs w:val="24"/>
          <w:lang w:val="es-MX"/>
        </w:rPr>
        <w:t xml:space="preserve">aron </w:t>
      </w:r>
      <w:r w:rsidR="00DF77D6">
        <w:rPr>
          <w:rFonts w:ascii="Futura Lt BT" w:hAnsi="Futura Lt BT" w:cs="Courier New"/>
          <w:sz w:val="24"/>
          <w:szCs w:val="24"/>
          <w:lang w:val="es-MX"/>
        </w:rPr>
        <w:t xml:space="preserve">flujos de remesas de </w:t>
      </w:r>
      <w:r w:rsidR="00DF77D6" w:rsidRPr="00317203">
        <w:rPr>
          <w:rFonts w:ascii="Futura Lt BT" w:hAnsi="Futura Lt BT" w:cs="Courier New"/>
          <w:sz w:val="24"/>
          <w:szCs w:val="24"/>
          <w:lang w:val="es-MX"/>
        </w:rPr>
        <w:t>1,</w:t>
      </w:r>
      <w:r w:rsidR="00DF77D6">
        <w:rPr>
          <w:rFonts w:ascii="Futura Lt BT" w:hAnsi="Futura Lt BT" w:cs="Courier New"/>
          <w:sz w:val="24"/>
          <w:szCs w:val="24"/>
          <w:lang w:val="es-MX"/>
        </w:rPr>
        <w:t>336</w:t>
      </w:r>
      <w:r w:rsidR="00DF77D6" w:rsidRPr="00317203">
        <w:rPr>
          <w:rFonts w:ascii="Futura Lt BT" w:hAnsi="Futura Lt BT" w:cs="Courier New"/>
          <w:sz w:val="24"/>
          <w:szCs w:val="24"/>
          <w:lang w:val="es-MX"/>
        </w:rPr>
        <w:t>.</w:t>
      </w:r>
      <w:r w:rsidR="00DF77D6">
        <w:rPr>
          <w:rFonts w:ascii="Futura Lt BT" w:hAnsi="Futura Lt BT" w:cs="Courier New"/>
          <w:sz w:val="24"/>
          <w:szCs w:val="24"/>
          <w:lang w:val="es-MX"/>
        </w:rPr>
        <w:t>9</w:t>
      </w:r>
      <w:r w:rsidR="00DF77D6" w:rsidRPr="00317203">
        <w:rPr>
          <w:rFonts w:ascii="Futura Lt BT" w:hAnsi="Futura Lt BT" w:cs="Courier New"/>
          <w:sz w:val="24"/>
          <w:szCs w:val="24"/>
          <w:lang w:val="es-MX"/>
        </w:rPr>
        <w:t xml:space="preserve"> millones de dólares</w:t>
      </w:r>
      <w:r w:rsidR="00DF77D6">
        <w:rPr>
          <w:rFonts w:ascii="Futura Lt BT" w:hAnsi="Futura Lt BT" w:cs="Courier New"/>
          <w:sz w:val="24"/>
          <w:szCs w:val="24"/>
          <w:lang w:val="es-MX"/>
        </w:rPr>
        <w:t>, superiores en 11</w:t>
      </w:r>
      <w:r w:rsidR="00DF77D6" w:rsidRPr="00317203">
        <w:rPr>
          <w:rFonts w:ascii="Futura Lt BT" w:hAnsi="Futura Lt BT" w:cs="Courier New"/>
          <w:sz w:val="24"/>
          <w:szCs w:val="24"/>
          <w:lang w:val="es-MX"/>
        </w:rPr>
        <w:t>.</w:t>
      </w:r>
      <w:r w:rsidR="00DF77D6">
        <w:rPr>
          <w:rFonts w:ascii="Futura Lt BT" w:hAnsi="Futura Lt BT" w:cs="Courier New"/>
          <w:sz w:val="24"/>
          <w:szCs w:val="24"/>
          <w:lang w:val="es-MX"/>
        </w:rPr>
        <w:t>9</w:t>
      </w:r>
      <w:r w:rsidR="00DF77D6" w:rsidRPr="00317203">
        <w:rPr>
          <w:rFonts w:ascii="Futura Lt BT" w:hAnsi="Futura Lt BT" w:cs="Courier New"/>
          <w:sz w:val="24"/>
          <w:szCs w:val="24"/>
          <w:lang w:val="es-MX"/>
        </w:rPr>
        <w:t xml:space="preserve"> por ciento</w:t>
      </w:r>
      <w:r w:rsidR="00DF77D6">
        <w:rPr>
          <w:rFonts w:ascii="Futura Lt BT" w:hAnsi="Futura Lt BT" w:cs="Courier New"/>
          <w:sz w:val="24"/>
          <w:szCs w:val="24"/>
          <w:lang w:val="es-MX"/>
        </w:rPr>
        <w:t xml:space="preserve"> respecto a igual periodo de 2023. En el acumulado, las remesas sumaron </w:t>
      </w:r>
      <w:r w:rsidR="00A15CC5">
        <w:rPr>
          <w:rFonts w:ascii="Futura Lt BT" w:hAnsi="Futura Lt BT" w:cs="Courier New"/>
          <w:sz w:val="24"/>
          <w:szCs w:val="24"/>
          <w:lang w:val="es-MX"/>
        </w:rPr>
        <w:t>2</w:t>
      </w:r>
      <w:r w:rsidR="00A15CC5" w:rsidRPr="00317203">
        <w:rPr>
          <w:rFonts w:ascii="Futura Lt BT" w:hAnsi="Futura Lt BT" w:cs="Courier New"/>
          <w:sz w:val="24"/>
          <w:szCs w:val="24"/>
          <w:lang w:val="es-MX"/>
        </w:rPr>
        <w:t>,</w:t>
      </w:r>
      <w:r w:rsidR="00A15CC5">
        <w:rPr>
          <w:rFonts w:ascii="Futura Lt BT" w:hAnsi="Futura Lt BT" w:cs="Courier New"/>
          <w:sz w:val="24"/>
          <w:szCs w:val="24"/>
          <w:lang w:val="es-MX"/>
        </w:rPr>
        <w:t>477</w:t>
      </w:r>
      <w:r w:rsidR="00A15CC5" w:rsidRPr="00317203">
        <w:rPr>
          <w:rFonts w:ascii="Futura Lt BT" w:hAnsi="Futura Lt BT" w:cs="Courier New"/>
          <w:sz w:val="24"/>
          <w:szCs w:val="24"/>
          <w:lang w:val="es-MX"/>
        </w:rPr>
        <w:t>.</w:t>
      </w:r>
      <w:r w:rsidR="00A15CC5">
        <w:rPr>
          <w:rFonts w:ascii="Futura Lt BT" w:hAnsi="Futura Lt BT" w:cs="Courier New"/>
          <w:sz w:val="24"/>
          <w:szCs w:val="24"/>
          <w:lang w:val="es-MX"/>
        </w:rPr>
        <w:t>8</w:t>
      </w:r>
      <w:r w:rsidR="00A15CC5" w:rsidRPr="00317203">
        <w:rPr>
          <w:rFonts w:ascii="Futura Lt BT" w:hAnsi="Futura Lt BT" w:cs="Courier New"/>
          <w:sz w:val="24"/>
          <w:szCs w:val="24"/>
          <w:lang w:val="es-MX"/>
        </w:rPr>
        <w:t xml:space="preserve"> millones</w:t>
      </w:r>
      <w:r w:rsidR="00A15CC5">
        <w:rPr>
          <w:rFonts w:ascii="Futura Lt BT" w:hAnsi="Futura Lt BT" w:cs="Courier New"/>
          <w:sz w:val="24"/>
          <w:szCs w:val="24"/>
          <w:lang w:val="es-MX"/>
        </w:rPr>
        <w:t xml:space="preserve"> de dólares</w:t>
      </w:r>
      <w:r w:rsidR="00DF77D6">
        <w:rPr>
          <w:rFonts w:ascii="Futura Lt BT" w:hAnsi="Futura Lt BT" w:cs="Courier New"/>
          <w:sz w:val="24"/>
          <w:szCs w:val="24"/>
          <w:lang w:val="es-MX"/>
        </w:rPr>
        <w:t xml:space="preserve">, para un crecimiento de 11.9 por ciento </w:t>
      </w:r>
      <w:r w:rsidR="00680B96">
        <w:rPr>
          <w:rFonts w:ascii="Futura Lt BT" w:hAnsi="Futura Lt BT" w:cs="Courier New"/>
          <w:sz w:val="24"/>
          <w:szCs w:val="24"/>
          <w:lang w:val="es-MX"/>
        </w:rPr>
        <w:t>(US$</w:t>
      </w:r>
      <w:r w:rsidR="00E70B17">
        <w:rPr>
          <w:rFonts w:ascii="Futura Lt BT" w:hAnsi="Futura Lt BT" w:cs="Courier New"/>
          <w:sz w:val="24"/>
          <w:szCs w:val="24"/>
          <w:lang w:val="es-MX"/>
        </w:rPr>
        <w:t>2</w:t>
      </w:r>
      <w:r w:rsidR="00680B96">
        <w:rPr>
          <w:rFonts w:ascii="Futura Lt BT" w:hAnsi="Futura Lt BT" w:cs="Courier New"/>
          <w:sz w:val="24"/>
          <w:szCs w:val="24"/>
          <w:lang w:val="es-MX"/>
        </w:rPr>
        <w:t>,2</w:t>
      </w:r>
      <w:r w:rsidR="00E70B17">
        <w:rPr>
          <w:rFonts w:ascii="Futura Lt BT" w:hAnsi="Futura Lt BT" w:cs="Courier New"/>
          <w:sz w:val="24"/>
          <w:szCs w:val="24"/>
          <w:lang w:val="es-MX"/>
        </w:rPr>
        <w:t>15</w:t>
      </w:r>
      <w:r w:rsidR="00680B96">
        <w:rPr>
          <w:rFonts w:ascii="Futura Lt BT" w:hAnsi="Futura Lt BT" w:cs="Courier New"/>
          <w:sz w:val="24"/>
          <w:szCs w:val="24"/>
          <w:lang w:val="es-MX"/>
        </w:rPr>
        <w:t>.</w:t>
      </w:r>
      <w:r w:rsidR="00E70B17">
        <w:rPr>
          <w:rFonts w:ascii="Futura Lt BT" w:hAnsi="Futura Lt BT" w:cs="Courier New"/>
          <w:sz w:val="24"/>
          <w:szCs w:val="24"/>
          <w:lang w:val="es-MX"/>
        </w:rPr>
        <w:t>0</w:t>
      </w:r>
      <w:r w:rsidR="00680B96">
        <w:rPr>
          <w:rFonts w:ascii="Futura Lt BT" w:hAnsi="Futura Lt BT" w:cs="Courier New"/>
          <w:sz w:val="24"/>
          <w:szCs w:val="24"/>
          <w:lang w:val="es-MX"/>
        </w:rPr>
        <w:t xml:space="preserve"> millones en </w:t>
      </w:r>
      <w:r w:rsidR="00E70B17">
        <w:rPr>
          <w:rFonts w:ascii="Futura Lt BT" w:hAnsi="Futura Lt BT" w:cs="Courier New"/>
          <w:sz w:val="24"/>
          <w:szCs w:val="24"/>
          <w:lang w:val="es-MX"/>
        </w:rPr>
        <w:t xml:space="preserve">el primer semestre </w:t>
      </w:r>
      <w:r w:rsidR="00680B96">
        <w:rPr>
          <w:rFonts w:ascii="Futura Lt BT" w:hAnsi="Futura Lt BT" w:cs="Courier New"/>
          <w:sz w:val="24"/>
          <w:szCs w:val="24"/>
          <w:lang w:val="es-MX"/>
        </w:rPr>
        <w:t>202</w:t>
      </w:r>
      <w:r w:rsidR="00E70B17">
        <w:rPr>
          <w:rFonts w:ascii="Futura Lt BT" w:hAnsi="Futura Lt BT" w:cs="Courier New"/>
          <w:sz w:val="24"/>
          <w:szCs w:val="24"/>
          <w:lang w:val="es-MX"/>
        </w:rPr>
        <w:t>3</w:t>
      </w:r>
      <w:r w:rsidR="00680B96">
        <w:rPr>
          <w:rFonts w:ascii="Futura Lt BT" w:hAnsi="Futura Lt BT" w:cs="Courier New"/>
          <w:sz w:val="24"/>
          <w:szCs w:val="24"/>
          <w:lang w:val="es-MX"/>
        </w:rPr>
        <w:t>)</w:t>
      </w:r>
      <w:r w:rsidR="00680B96" w:rsidRPr="00317203">
        <w:rPr>
          <w:rFonts w:ascii="Futura Lt BT" w:hAnsi="Futura Lt BT" w:cs="Courier New"/>
          <w:sz w:val="24"/>
          <w:szCs w:val="24"/>
          <w:lang w:val="es-MX"/>
        </w:rPr>
        <w:t>.</w:t>
      </w:r>
    </w:p>
    <w:p w:rsidR="003E5C4D" w:rsidRDefault="004D324E" w:rsidP="00043DF9">
      <w:pPr>
        <w:spacing w:line="276" w:lineRule="auto"/>
        <w:jc w:val="both"/>
        <w:rPr>
          <w:rFonts w:ascii="Futura Lt BT" w:eastAsia="Calibri" w:hAnsi="Futura Lt BT" w:cs="Courier New"/>
          <w:sz w:val="24"/>
          <w:szCs w:val="24"/>
          <w:lang w:val="es-MX"/>
        </w:rPr>
      </w:pPr>
      <w:r w:rsidRPr="004F4854">
        <w:rPr>
          <w:rFonts w:ascii="Futura Lt BT" w:eastAsia="Calibri" w:hAnsi="Futura Lt BT" w:cs="Courier New"/>
          <w:sz w:val="24"/>
          <w:szCs w:val="24"/>
          <w:lang w:val="es-MX"/>
        </w:rPr>
        <w:t>Entre los movimientos</w:t>
      </w:r>
      <w:r w:rsidRPr="004D324E">
        <w:rPr>
          <w:rFonts w:ascii="Futura Lt BT" w:eastAsia="Calibri" w:hAnsi="Futura Lt BT" w:cs="Courier New"/>
          <w:sz w:val="24"/>
          <w:szCs w:val="24"/>
          <w:lang w:val="es-MX"/>
        </w:rPr>
        <w:t xml:space="preserve"> de </w:t>
      </w:r>
      <w:r w:rsidR="004F4854">
        <w:rPr>
          <w:rFonts w:ascii="Futura Lt BT" w:eastAsia="Calibri" w:hAnsi="Futura Lt BT" w:cs="Courier New"/>
          <w:sz w:val="24"/>
          <w:szCs w:val="24"/>
          <w:lang w:val="es-MX"/>
        </w:rPr>
        <w:t xml:space="preserve">las cuentas de </w:t>
      </w:r>
      <w:r w:rsidRPr="004D324E">
        <w:rPr>
          <w:rFonts w:ascii="Futura Lt BT" w:eastAsia="Calibri" w:hAnsi="Futura Lt BT" w:cs="Courier New"/>
          <w:sz w:val="24"/>
          <w:szCs w:val="24"/>
          <w:lang w:val="es-MX"/>
        </w:rPr>
        <w:t>capital y financier</w:t>
      </w:r>
      <w:r w:rsidR="004F4854">
        <w:rPr>
          <w:rFonts w:ascii="Futura Lt BT" w:eastAsia="Calibri" w:hAnsi="Futura Lt BT" w:cs="Courier New"/>
          <w:sz w:val="24"/>
          <w:szCs w:val="24"/>
          <w:lang w:val="es-MX"/>
        </w:rPr>
        <w:t>a,</w:t>
      </w:r>
      <w:r w:rsidRPr="004D324E">
        <w:rPr>
          <w:rFonts w:ascii="Futura Lt BT" w:eastAsia="Calibri" w:hAnsi="Futura Lt BT" w:cs="Courier New"/>
          <w:sz w:val="24"/>
          <w:szCs w:val="24"/>
          <w:lang w:val="es-MX"/>
        </w:rPr>
        <w:t xml:space="preserve"> </w:t>
      </w:r>
      <w:r w:rsidR="002979FC" w:rsidRPr="006C7A85">
        <w:rPr>
          <w:rFonts w:ascii="Futura Lt BT" w:hAnsi="Futura Lt BT" w:cs="Courier New"/>
          <w:sz w:val="24"/>
          <w:szCs w:val="24"/>
          <w:lang w:val="es-MX"/>
        </w:rPr>
        <w:t xml:space="preserve">se </w:t>
      </w:r>
      <w:r w:rsidR="00996939" w:rsidRPr="006C7A85">
        <w:rPr>
          <w:rFonts w:ascii="Futura Lt BT" w:hAnsi="Futura Lt BT" w:cs="Courier New"/>
          <w:sz w:val="24"/>
          <w:szCs w:val="24"/>
          <w:lang w:val="es-MX"/>
        </w:rPr>
        <w:t>destac</w:t>
      </w:r>
      <w:r w:rsidR="002979FC" w:rsidRPr="006C7A85">
        <w:rPr>
          <w:rFonts w:ascii="Futura Lt BT" w:hAnsi="Futura Lt BT" w:cs="Courier New"/>
          <w:sz w:val="24"/>
          <w:szCs w:val="24"/>
          <w:lang w:val="es-MX"/>
        </w:rPr>
        <w:t>ó</w:t>
      </w:r>
      <w:r w:rsidR="00996939" w:rsidRPr="006C7A85">
        <w:rPr>
          <w:rFonts w:ascii="Futura Lt BT" w:hAnsi="Futura Lt BT" w:cs="Courier New"/>
          <w:sz w:val="24"/>
          <w:szCs w:val="24"/>
          <w:lang w:val="es-MX"/>
        </w:rPr>
        <w:t xml:space="preserve"> </w:t>
      </w:r>
      <w:r w:rsidR="008A74AE" w:rsidRPr="006C7A85">
        <w:rPr>
          <w:rFonts w:ascii="Futura Lt BT" w:hAnsi="Futura Lt BT" w:cs="Courier New"/>
          <w:sz w:val="24"/>
          <w:szCs w:val="24"/>
          <w:lang w:val="es-MX"/>
        </w:rPr>
        <w:t xml:space="preserve">el </w:t>
      </w:r>
      <w:r w:rsidR="00B17336" w:rsidRPr="006C7A85">
        <w:rPr>
          <w:rFonts w:ascii="Futura Lt BT" w:hAnsi="Futura Lt BT" w:cs="Courier New"/>
          <w:sz w:val="24"/>
          <w:szCs w:val="24"/>
          <w:lang w:val="es-MX"/>
        </w:rPr>
        <w:t xml:space="preserve">ingreso </w:t>
      </w:r>
      <w:r w:rsidR="008A74AE" w:rsidRPr="006C7A85">
        <w:rPr>
          <w:rFonts w:ascii="Futura Lt BT" w:hAnsi="Futura Lt BT" w:cs="Courier New"/>
          <w:sz w:val="24"/>
          <w:szCs w:val="24"/>
          <w:lang w:val="es-MX"/>
        </w:rPr>
        <w:t xml:space="preserve">bruto de inversión extranjera directa (IED) </w:t>
      </w:r>
      <w:r w:rsidR="004F4854">
        <w:rPr>
          <w:rFonts w:ascii="Futura Lt BT" w:hAnsi="Futura Lt BT" w:cs="Courier New"/>
          <w:sz w:val="24"/>
          <w:szCs w:val="24"/>
          <w:lang w:val="es-MX"/>
        </w:rPr>
        <w:t xml:space="preserve">con un flujo </w:t>
      </w:r>
      <w:r w:rsidR="00DC2450">
        <w:rPr>
          <w:rFonts w:ascii="Futura Lt BT" w:hAnsi="Futura Lt BT" w:cs="Courier New"/>
          <w:sz w:val="24"/>
          <w:szCs w:val="24"/>
          <w:lang w:val="es-MX"/>
        </w:rPr>
        <w:t xml:space="preserve">de </w:t>
      </w:r>
      <w:r w:rsidR="00E95999">
        <w:rPr>
          <w:rFonts w:ascii="Futura Lt BT" w:hAnsi="Futura Lt BT" w:cs="Courier New"/>
          <w:sz w:val="24"/>
          <w:szCs w:val="24"/>
          <w:lang w:val="es-MX"/>
        </w:rPr>
        <w:t>779.6</w:t>
      </w:r>
      <w:r w:rsidR="008A74AE" w:rsidRPr="006C7A85">
        <w:rPr>
          <w:rFonts w:ascii="Futura Lt BT" w:hAnsi="Futura Lt BT" w:cs="Courier New"/>
          <w:sz w:val="24"/>
          <w:szCs w:val="24"/>
          <w:lang w:val="es-MX"/>
        </w:rPr>
        <w:t xml:space="preserve"> millones de dólares, </w:t>
      </w:r>
      <w:bookmarkStart w:id="4" w:name="_Hlk156917338"/>
      <w:r w:rsidR="00EF7F60">
        <w:rPr>
          <w:rFonts w:ascii="Futura Lt BT" w:hAnsi="Futura Lt BT" w:cs="Courier New"/>
          <w:sz w:val="24"/>
          <w:szCs w:val="24"/>
          <w:lang w:val="es-MX"/>
        </w:rPr>
        <w:t xml:space="preserve">lo cual significó un </w:t>
      </w:r>
      <w:r w:rsidR="00ED3769">
        <w:rPr>
          <w:rFonts w:ascii="Futura Lt BT" w:hAnsi="Futura Lt BT" w:cs="Courier New"/>
          <w:sz w:val="24"/>
          <w:szCs w:val="24"/>
          <w:lang w:val="es-MX"/>
        </w:rPr>
        <w:t>incremento</w:t>
      </w:r>
      <w:r w:rsidR="004809E3" w:rsidRPr="006C7A85">
        <w:rPr>
          <w:rFonts w:ascii="Futura Lt BT" w:hAnsi="Futura Lt BT" w:cs="Courier New"/>
          <w:sz w:val="24"/>
          <w:szCs w:val="24"/>
          <w:lang w:val="es-MX"/>
        </w:rPr>
        <w:t xml:space="preserve"> de </w:t>
      </w:r>
      <w:r w:rsidR="006F25A1">
        <w:rPr>
          <w:rFonts w:ascii="Futura Lt BT" w:hAnsi="Futura Lt BT" w:cs="Courier New"/>
          <w:sz w:val="24"/>
          <w:szCs w:val="24"/>
          <w:lang w:val="es-MX"/>
        </w:rPr>
        <w:t>21.4</w:t>
      </w:r>
      <w:r w:rsidR="009D2FED" w:rsidRPr="006C7A85">
        <w:rPr>
          <w:rFonts w:ascii="Futura Lt BT" w:hAnsi="Futura Lt BT" w:cs="Courier New"/>
          <w:sz w:val="24"/>
          <w:szCs w:val="24"/>
          <w:lang w:val="es-MX"/>
        </w:rPr>
        <w:t xml:space="preserve"> por ciento</w:t>
      </w:r>
      <w:r w:rsidR="008A74AE" w:rsidRPr="006C7A85">
        <w:rPr>
          <w:rFonts w:ascii="Futura Lt BT" w:hAnsi="Futura Lt BT" w:cs="Courier New"/>
          <w:sz w:val="24"/>
          <w:szCs w:val="24"/>
          <w:lang w:val="es-MX"/>
        </w:rPr>
        <w:t xml:space="preserve"> con respecto a igual per</w:t>
      </w:r>
      <w:r w:rsidR="00CA7029" w:rsidRPr="006C7A85">
        <w:rPr>
          <w:rFonts w:ascii="Futura Lt BT" w:hAnsi="Futura Lt BT" w:cs="Courier New"/>
          <w:sz w:val="24"/>
          <w:szCs w:val="24"/>
          <w:lang w:val="es-MX"/>
        </w:rPr>
        <w:t>í</w:t>
      </w:r>
      <w:r w:rsidR="008A74AE" w:rsidRPr="006C7A85">
        <w:rPr>
          <w:rFonts w:ascii="Futura Lt BT" w:hAnsi="Futura Lt BT" w:cs="Courier New"/>
          <w:sz w:val="24"/>
          <w:szCs w:val="24"/>
          <w:lang w:val="es-MX"/>
        </w:rPr>
        <w:t>odo de 202</w:t>
      </w:r>
      <w:r w:rsidR="000523DC">
        <w:rPr>
          <w:rFonts w:ascii="Futura Lt BT" w:hAnsi="Futura Lt BT" w:cs="Courier New"/>
          <w:sz w:val="24"/>
          <w:szCs w:val="24"/>
          <w:lang w:val="es-MX"/>
        </w:rPr>
        <w:t>3</w:t>
      </w:r>
      <w:r w:rsidR="008A74AE" w:rsidRPr="006C7A85">
        <w:rPr>
          <w:rFonts w:ascii="Futura Lt BT" w:hAnsi="Futura Lt BT" w:cs="Courier New"/>
          <w:sz w:val="24"/>
          <w:szCs w:val="24"/>
          <w:lang w:val="es-MX"/>
        </w:rPr>
        <w:t xml:space="preserve"> </w:t>
      </w:r>
      <w:r w:rsidR="008A74AE" w:rsidRPr="00ED3769">
        <w:rPr>
          <w:rFonts w:ascii="Futura Lt BT" w:hAnsi="Futura Lt BT" w:cs="Courier New"/>
          <w:sz w:val="24"/>
          <w:szCs w:val="24"/>
          <w:lang w:val="es-MX"/>
        </w:rPr>
        <w:t>(US$</w:t>
      </w:r>
      <w:r w:rsidR="00ED3769" w:rsidRPr="00ED3769">
        <w:rPr>
          <w:rFonts w:ascii="Futura Lt BT" w:hAnsi="Futura Lt BT" w:cs="Courier New"/>
          <w:sz w:val="24"/>
          <w:szCs w:val="24"/>
          <w:lang w:val="es-MX"/>
        </w:rPr>
        <w:t>642</w:t>
      </w:r>
      <w:r w:rsidR="004809E3" w:rsidRPr="00ED3769">
        <w:rPr>
          <w:rFonts w:ascii="Futura Lt BT" w:hAnsi="Futura Lt BT" w:cs="Courier New"/>
          <w:sz w:val="24"/>
          <w:szCs w:val="24"/>
          <w:lang w:val="es-MX"/>
        </w:rPr>
        <w:t>.</w:t>
      </w:r>
      <w:r w:rsidR="00061A51" w:rsidRPr="00ED3769">
        <w:rPr>
          <w:rFonts w:ascii="Futura Lt BT" w:hAnsi="Futura Lt BT" w:cs="Courier New"/>
          <w:sz w:val="24"/>
          <w:szCs w:val="24"/>
          <w:lang w:val="es-MX"/>
        </w:rPr>
        <w:t>1</w:t>
      </w:r>
      <w:r w:rsidR="008A74AE" w:rsidRPr="00ED3769">
        <w:rPr>
          <w:rFonts w:ascii="Futura Lt BT" w:hAnsi="Futura Lt BT" w:cs="Courier New"/>
          <w:sz w:val="24"/>
          <w:szCs w:val="24"/>
          <w:lang w:val="es-MX"/>
        </w:rPr>
        <w:t xml:space="preserve"> millones)</w:t>
      </w:r>
      <w:bookmarkStart w:id="5" w:name="_Hlk163044689"/>
      <w:bookmarkEnd w:id="4"/>
      <w:r w:rsidR="006C7A85" w:rsidRPr="00ED3769">
        <w:rPr>
          <w:rFonts w:ascii="Futura Lt BT" w:hAnsi="Futura Lt BT" w:cs="Courier New"/>
          <w:sz w:val="24"/>
          <w:szCs w:val="24"/>
          <w:lang w:val="es-MX"/>
        </w:rPr>
        <w:t>.</w:t>
      </w:r>
      <w:r w:rsidR="006C7A85">
        <w:rPr>
          <w:rFonts w:ascii="Futura Lt BT" w:hAnsi="Futura Lt BT" w:cs="Courier New"/>
          <w:sz w:val="24"/>
          <w:szCs w:val="24"/>
          <w:lang w:val="es-MX"/>
        </w:rPr>
        <w:t xml:space="preserve"> </w:t>
      </w:r>
      <w:bookmarkEnd w:id="5"/>
      <w:r w:rsidR="006C7A85" w:rsidRPr="00466492">
        <w:rPr>
          <w:rFonts w:ascii="Futura Lt BT" w:eastAsia="Calibri" w:hAnsi="Futura Lt BT" w:cs="Courier New"/>
          <w:sz w:val="24"/>
          <w:szCs w:val="24"/>
          <w:lang w:val="es-MX"/>
        </w:rPr>
        <w:t>Asimismo, se registr</w:t>
      </w:r>
      <w:r w:rsidR="004F4854">
        <w:rPr>
          <w:rFonts w:ascii="Futura Lt BT" w:eastAsia="Calibri" w:hAnsi="Futura Lt BT" w:cs="Courier New"/>
          <w:sz w:val="24"/>
          <w:szCs w:val="24"/>
          <w:lang w:val="es-MX"/>
        </w:rPr>
        <w:t>aron</w:t>
      </w:r>
      <w:r w:rsidR="00DC2450" w:rsidRPr="00466492">
        <w:rPr>
          <w:rFonts w:ascii="Futura Lt BT" w:eastAsia="Calibri" w:hAnsi="Futura Lt BT" w:cs="Courier New"/>
          <w:sz w:val="24"/>
          <w:szCs w:val="24"/>
          <w:lang w:val="es-MX"/>
        </w:rPr>
        <w:t xml:space="preserve"> </w:t>
      </w:r>
      <w:r w:rsidR="00C27B19">
        <w:rPr>
          <w:rFonts w:ascii="Futura Lt BT" w:eastAsia="Calibri" w:hAnsi="Futura Lt BT" w:cs="Courier New"/>
          <w:sz w:val="24"/>
          <w:szCs w:val="24"/>
          <w:lang w:val="es-MX"/>
        </w:rPr>
        <w:t>desembolsos</w:t>
      </w:r>
      <w:r w:rsidR="00DC2450" w:rsidRPr="00466492">
        <w:rPr>
          <w:rFonts w:ascii="Futura Lt BT" w:eastAsia="Calibri" w:hAnsi="Futura Lt BT" w:cs="Courier New"/>
          <w:sz w:val="24"/>
          <w:szCs w:val="24"/>
          <w:lang w:val="es-MX"/>
        </w:rPr>
        <w:t xml:space="preserve"> net</w:t>
      </w:r>
      <w:r w:rsidR="00C27B19">
        <w:rPr>
          <w:rFonts w:ascii="Futura Lt BT" w:eastAsia="Calibri" w:hAnsi="Futura Lt BT" w:cs="Courier New"/>
          <w:sz w:val="24"/>
          <w:szCs w:val="24"/>
          <w:lang w:val="es-MX"/>
        </w:rPr>
        <w:t>o</w:t>
      </w:r>
      <w:r w:rsidR="00DC2450" w:rsidRPr="00466492">
        <w:rPr>
          <w:rFonts w:ascii="Futura Lt BT" w:eastAsia="Calibri" w:hAnsi="Futura Lt BT" w:cs="Courier New"/>
          <w:sz w:val="24"/>
          <w:szCs w:val="24"/>
          <w:lang w:val="es-MX"/>
        </w:rPr>
        <w:t xml:space="preserve">s de </w:t>
      </w:r>
      <w:r w:rsidR="006C7A85" w:rsidRPr="00466492">
        <w:rPr>
          <w:rFonts w:ascii="Futura Lt BT" w:eastAsia="Calibri" w:hAnsi="Futura Lt BT" w:cs="Courier New"/>
          <w:sz w:val="24"/>
          <w:szCs w:val="24"/>
          <w:lang w:val="es-MX"/>
        </w:rPr>
        <w:t xml:space="preserve">préstamos externos </w:t>
      </w:r>
      <w:r w:rsidR="00DC2450" w:rsidRPr="00466492">
        <w:rPr>
          <w:rFonts w:ascii="Futura Lt BT" w:eastAsia="Calibri" w:hAnsi="Futura Lt BT" w:cs="Courier New"/>
          <w:sz w:val="24"/>
          <w:szCs w:val="24"/>
          <w:lang w:val="es-MX"/>
        </w:rPr>
        <w:t xml:space="preserve">por </w:t>
      </w:r>
      <w:r w:rsidR="002573F9">
        <w:rPr>
          <w:rFonts w:ascii="Futura Lt BT" w:eastAsia="Calibri" w:hAnsi="Futura Lt BT" w:cs="Courier New"/>
          <w:sz w:val="24"/>
          <w:szCs w:val="24"/>
          <w:lang w:val="es-MX"/>
        </w:rPr>
        <w:t>38</w:t>
      </w:r>
      <w:r w:rsidR="00A46505">
        <w:rPr>
          <w:rFonts w:ascii="Futura Lt BT" w:eastAsia="Calibri" w:hAnsi="Futura Lt BT" w:cs="Courier New"/>
          <w:sz w:val="24"/>
          <w:szCs w:val="24"/>
          <w:lang w:val="es-MX"/>
        </w:rPr>
        <w:t>.</w:t>
      </w:r>
      <w:r w:rsidR="00C27B19">
        <w:rPr>
          <w:rFonts w:ascii="Futura Lt BT" w:eastAsia="Calibri" w:hAnsi="Futura Lt BT" w:cs="Courier New"/>
          <w:sz w:val="24"/>
          <w:szCs w:val="24"/>
          <w:lang w:val="es-MX"/>
        </w:rPr>
        <w:t>1</w:t>
      </w:r>
      <w:r w:rsidR="006C7A85" w:rsidRPr="00466492">
        <w:rPr>
          <w:rFonts w:ascii="Futura Lt BT" w:eastAsia="Calibri" w:hAnsi="Futura Lt BT" w:cs="Courier New"/>
          <w:sz w:val="24"/>
          <w:szCs w:val="24"/>
          <w:lang w:val="es-MX"/>
        </w:rPr>
        <w:t xml:space="preserve"> millones</w:t>
      </w:r>
      <w:r w:rsidR="00DC2450" w:rsidRPr="00466492">
        <w:rPr>
          <w:rFonts w:ascii="Futura Lt BT" w:eastAsia="Calibri" w:hAnsi="Futura Lt BT" w:cs="Courier New"/>
          <w:sz w:val="24"/>
          <w:szCs w:val="24"/>
          <w:lang w:val="es-MX"/>
        </w:rPr>
        <w:t xml:space="preserve"> de dólares</w:t>
      </w:r>
      <w:r w:rsidR="004F4854" w:rsidRPr="004F4854">
        <w:rPr>
          <w:rFonts w:ascii="Futura Lt BT" w:eastAsia="Calibri" w:hAnsi="Futura Lt BT" w:cs="Courier New"/>
          <w:sz w:val="24"/>
          <w:szCs w:val="24"/>
          <w:lang w:val="es-MX"/>
        </w:rPr>
        <w:t xml:space="preserve"> </w:t>
      </w:r>
      <w:r w:rsidR="004F4854" w:rsidRPr="00466492">
        <w:rPr>
          <w:rFonts w:ascii="Futura Lt BT" w:eastAsia="Calibri" w:hAnsi="Futura Lt BT" w:cs="Courier New"/>
          <w:sz w:val="24"/>
          <w:szCs w:val="24"/>
          <w:lang w:val="es-MX"/>
        </w:rPr>
        <w:t>en el trimestre</w:t>
      </w:r>
      <w:r w:rsidR="006C7A85" w:rsidRPr="00466492">
        <w:rPr>
          <w:rFonts w:ascii="Futura Lt BT" w:eastAsia="Calibri" w:hAnsi="Futura Lt BT" w:cs="Courier New"/>
          <w:sz w:val="24"/>
          <w:szCs w:val="24"/>
          <w:lang w:val="es-MX"/>
        </w:rPr>
        <w:t xml:space="preserve">, </w:t>
      </w:r>
      <w:r w:rsidR="006C7A85" w:rsidRPr="00C27B19">
        <w:rPr>
          <w:rFonts w:ascii="Futura Lt BT" w:eastAsia="Calibri" w:hAnsi="Futura Lt BT" w:cs="Courier New"/>
          <w:sz w:val="24"/>
          <w:szCs w:val="24"/>
          <w:lang w:val="es-MX"/>
        </w:rPr>
        <w:t xml:space="preserve">como resultado de </w:t>
      </w:r>
      <w:r w:rsidR="00C27B19" w:rsidRPr="00C27B19">
        <w:rPr>
          <w:rFonts w:ascii="Futura Lt BT" w:eastAsia="Calibri" w:hAnsi="Futura Lt BT" w:cs="Courier New"/>
          <w:sz w:val="24"/>
          <w:szCs w:val="24"/>
          <w:lang w:val="es-MX"/>
        </w:rPr>
        <w:t>desembolsos</w:t>
      </w:r>
      <w:r w:rsidR="006C7A85" w:rsidRPr="00C27B19">
        <w:rPr>
          <w:rFonts w:ascii="Futura Lt BT" w:eastAsia="Calibri" w:hAnsi="Futura Lt BT" w:cs="Courier New"/>
          <w:sz w:val="24"/>
          <w:szCs w:val="24"/>
          <w:lang w:val="es-MX"/>
        </w:rPr>
        <w:t xml:space="preserve"> net</w:t>
      </w:r>
      <w:r w:rsidR="00C27B19" w:rsidRPr="00C27B19">
        <w:rPr>
          <w:rFonts w:ascii="Futura Lt BT" w:eastAsia="Calibri" w:hAnsi="Futura Lt BT" w:cs="Courier New"/>
          <w:sz w:val="24"/>
          <w:szCs w:val="24"/>
          <w:lang w:val="es-MX"/>
        </w:rPr>
        <w:t>o</w:t>
      </w:r>
      <w:r w:rsidR="006C7A85" w:rsidRPr="00C27B19">
        <w:rPr>
          <w:rFonts w:ascii="Futura Lt BT" w:eastAsia="Calibri" w:hAnsi="Futura Lt BT" w:cs="Courier New"/>
          <w:sz w:val="24"/>
          <w:szCs w:val="24"/>
          <w:lang w:val="es-MX"/>
        </w:rPr>
        <w:t xml:space="preserve">s </w:t>
      </w:r>
      <w:r w:rsidR="00C27B19" w:rsidRPr="00C27B19">
        <w:rPr>
          <w:rFonts w:ascii="Futura Lt BT" w:eastAsia="Calibri" w:hAnsi="Futura Lt BT" w:cs="Courier New"/>
          <w:sz w:val="24"/>
          <w:szCs w:val="24"/>
          <w:lang w:val="es-MX"/>
        </w:rPr>
        <w:t>dirigidos al Gobiern</w:t>
      </w:r>
      <w:r w:rsidR="00C27B19" w:rsidRPr="00AA6B74">
        <w:rPr>
          <w:rFonts w:ascii="Futura Lt BT" w:eastAsia="Calibri" w:hAnsi="Futura Lt BT" w:cs="Courier New"/>
          <w:sz w:val="24"/>
          <w:szCs w:val="24"/>
          <w:lang w:val="es-MX"/>
        </w:rPr>
        <w:t>o (US$</w:t>
      </w:r>
      <w:r w:rsidR="00C27B19">
        <w:rPr>
          <w:rFonts w:ascii="Futura Lt BT" w:eastAsia="Calibri" w:hAnsi="Futura Lt BT" w:cs="Courier New"/>
          <w:sz w:val="24"/>
          <w:szCs w:val="24"/>
          <w:lang w:val="es-MX"/>
        </w:rPr>
        <w:t>42</w:t>
      </w:r>
      <w:r w:rsidR="00C27B19" w:rsidRPr="00AA6B74">
        <w:rPr>
          <w:rFonts w:ascii="Futura Lt BT" w:eastAsia="Calibri" w:hAnsi="Futura Lt BT" w:cs="Courier New"/>
          <w:sz w:val="24"/>
          <w:szCs w:val="24"/>
          <w:lang w:val="es-MX"/>
        </w:rPr>
        <w:t>.</w:t>
      </w:r>
      <w:r w:rsidR="00C27B19">
        <w:rPr>
          <w:rFonts w:ascii="Futura Lt BT" w:eastAsia="Calibri" w:hAnsi="Futura Lt BT" w:cs="Courier New"/>
          <w:sz w:val="24"/>
          <w:szCs w:val="24"/>
          <w:lang w:val="es-MX"/>
        </w:rPr>
        <w:t>0</w:t>
      </w:r>
      <w:r w:rsidR="00C27B19" w:rsidRPr="00AA6B74">
        <w:rPr>
          <w:rFonts w:ascii="Futura Lt BT" w:eastAsia="Calibri" w:hAnsi="Futura Lt BT" w:cs="Courier New"/>
          <w:sz w:val="24"/>
          <w:szCs w:val="24"/>
          <w:lang w:val="es-MX"/>
        </w:rPr>
        <w:t xml:space="preserve"> millones), </w:t>
      </w:r>
      <w:r w:rsidR="00C27B19">
        <w:rPr>
          <w:rFonts w:ascii="Futura Lt BT" w:eastAsia="Calibri" w:hAnsi="Futura Lt BT" w:cs="Courier New"/>
          <w:sz w:val="24"/>
          <w:szCs w:val="24"/>
          <w:lang w:val="es-MX"/>
        </w:rPr>
        <w:t xml:space="preserve">Banco Central (US$3.5 millones) y </w:t>
      </w:r>
      <w:r w:rsidR="00C27B19">
        <w:rPr>
          <w:rFonts w:ascii="Futura Lt BT" w:hAnsi="Futura Lt BT" w:cs="Courier New"/>
          <w:sz w:val="24"/>
          <w:szCs w:val="24"/>
          <w:lang w:val="es-MX"/>
        </w:rPr>
        <w:t>otros</w:t>
      </w:r>
      <w:r w:rsidR="00731053" w:rsidRPr="00C27B19">
        <w:rPr>
          <w:rFonts w:ascii="Futura Lt BT" w:hAnsi="Futura Lt BT" w:cs="Courier New"/>
          <w:sz w:val="24"/>
          <w:szCs w:val="24"/>
          <w:lang w:val="es-MX"/>
        </w:rPr>
        <w:t xml:space="preserve"> </w:t>
      </w:r>
      <w:r w:rsidR="00C27B19">
        <w:rPr>
          <w:rFonts w:ascii="Futura Lt BT" w:hAnsi="Futura Lt BT" w:cs="Courier New"/>
          <w:sz w:val="24"/>
          <w:szCs w:val="24"/>
          <w:lang w:val="es-MX"/>
        </w:rPr>
        <w:t>sectores</w:t>
      </w:r>
      <w:r w:rsidR="00731053" w:rsidRPr="00C27B19">
        <w:rPr>
          <w:rFonts w:ascii="Futura Lt BT" w:eastAsia="Calibri" w:hAnsi="Futura Lt BT" w:cs="Courier New"/>
          <w:sz w:val="24"/>
          <w:szCs w:val="24"/>
          <w:lang w:val="es-MX"/>
        </w:rPr>
        <w:t xml:space="preserve"> (US$</w:t>
      </w:r>
      <w:r w:rsidR="00C27B19">
        <w:rPr>
          <w:rFonts w:ascii="Futura Lt BT" w:eastAsia="Calibri" w:hAnsi="Futura Lt BT" w:cs="Courier New"/>
          <w:sz w:val="24"/>
          <w:szCs w:val="24"/>
          <w:lang w:val="es-MX"/>
        </w:rPr>
        <w:t>1</w:t>
      </w:r>
      <w:r w:rsidR="00731053" w:rsidRPr="00C27B19">
        <w:rPr>
          <w:rFonts w:ascii="Futura Lt BT" w:eastAsia="Calibri" w:hAnsi="Futura Lt BT" w:cs="Courier New"/>
          <w:sz w:val="24"/>
          <w:szCs w:val="24"/>
          <w:lang w:val="es-MX"/>
        </w:rPr>
        <w:t>.</w:t>
      </w:r>
      <w:r w:rsidR="00C27B19">
        <w:rPr>
          <w:rFonts w:ascii="Futura Lt BT" w:eastAsia="Calibri" w:hAnsi="Futura Lt BT" w:cs="Courier New"/>
          <w:sz w:val="24"/>
          <w:szCs w:val="24"/>
          <w:lang w:val="es-MX"/>
        </w:rPr>
        <w:t>3</w:t>
      </w:r>
      <w:r w:rsidR="00731053" w:rsidRPr="00C27B19">
        <w:rPr>
          <w:rFonts w:ascii="Futura Lt BT" w:eastAsia="Calibri" w:hAnsi="Futura Lt BT" w:cs="Courier New"/>
          <w:sz w:val="24"/>
          <w:szCs w:val="24"/>
          <w:lang w:val="es-MX"/>
        </w:rPr>
        <w:t xml:space="preserve"> millones), los</w:t>
      </w:r>
      <w:r w:rsidR="00731053" w:rsidRPr="00466492">
        <w:rPr>
          <w:rFonts w:ascii="Futura Lt BT" w:eastAsia="Calibri" w:hAnsi="Futura Lt BT" w:cs="Courier New"/>
          <w:sz w:val="24"/>
          <w:szCs w:val="24"/>
          <w:lang w:val="es-MX"/>
        </w:rPr>
        <w:t xml:space="preserve"> cuales </w:t>
      </w:r>
      <w:r w:rsidR="004F4854">
        <w:rPr>
          <w:rFonts w:ascii="Futura Lt BT" w:eastAsia="Calibri" w:hAnsi="Futura Lt BT" w:cs="Courier New"/>
          <w:sz w:val="24"/>
          <w:szCs w:val="24"/>
          <w:lang w:val="es-MX"/>
        </w:rPr>
        <w:t>prevalecieron sobre</w:t>
      </w:r>
      <w:r w:rsidR="00731053">
        <w:rPr>
          <w:rFonts w:ascii="Futura Lt BT" w:eastAsia="Calibri" w:hAnsi="Futura Lt BT" w:cs="Courier New"/>
          <w:sz w:val="24"/>
          <w:szCs w:val="24"/>
          <w:lang w:val="es-MX"/>
        </w:rPr>
        <w:t xml:space="preserve"> l</w:t>
      </w:r>
      <w:r w:rsidR="00C27B19">
        <w:rPr>
          <w:rFonts w:ascii="Futura Lt BT" w:eastAsia="Calibri" w:hAnsi="Futura Lt BT" w:cs="Courier New"/>
          <w:sz w:val="24"/>
          <w:szCs w:val="24"/>
          <w:lang w:val="es-MX"/>
        </w:rPr>
        <w:t>a</w:t>
      </w:r>
      <w:r w:rsidR="00731053">
        <w:rPr>
          <w:rFonts w:ascii="Futura Lt BT" w:eastAsia="Calibri" w:hAnsi="Futura Lt BT" w:cs="Courier New"/>
          <w:sz w:val="24"/>
          <w:szCs w:val="24"/>
          <w:lang w:val="es-MX"/>
        </w:rPr>
        <w:t xml:space="preserve">s </w:t>
      </w:r>
      <w:r w:rsidR="00C27B19">
        <w:rPr>
          <w:rFonts w:ascii="Futura Lt BT" w:eastAsia="Calibri" w:hAnsi="Futura Lt BT" w:cs="Courier New"/>
          <w:sz w:val="24"/>
          <w:szCs w:val="24"/>
          <w:lang w:val="es-MX"/>
        </w:rPr>
        <w:t>amortizaciones</w:t>
      </w:r>
      <w:r w:rsidR="00731053" w:rsidRPr="00AA6B74">
        <w:rPr>
          <w:rFonts w:ascii="Futura Lt BT" w:eastAsia="Calibri" w:hAnsi="Futura Lt BT" w:cs="Courier New"/>
          <w:sz w:val="24"/>
          <w:szCs w:val="24"/>
          <w:lang w:val="es-MX"/>
        </w:rPr>
        <w:t xml:space="preserve"> ne</w:t>
      </w:r>
      <w:r w:rsidR="00C27B19">
        <w:rPr>
          <w:rFonts w:ascii="Futura Lt BT" w:eastAsia="Calibri" w:hAnsi="Futura Lt BT" w:cs="Courier New"/>
          <w:sz w:val="24"/>
          <w:szCs w:val="24"/>
          <w:lang w:val="es-MX"/>
        </w:rPr>
        <w:t>ta</w:t>
      </w:r>
      <w:r w:rsidR="00731053" w:rsidRPr="00AA6B74">
        <w:rPr>
          <w:rFonts w:ascii="Futura Lt BT" w:eastAsia="Calibri" w:hAnsi="Futura Lt BT" w:cs="Courier New"/>
          <w:sz w:val="24"/>
          <w:szCs w:val="24"/>
          <w:lang w:val="es-MX"/>
        </w:rPr>
        <w:t>s</w:t>
      </w:r>
      <w:r w:rsidR="00C27B19">
        <w:rPr>
          <w:rFonts w:ascii="Futura Lt BT" w:eastAsia="Calibri" w:hAnsi="Futura Lt BT" w:cs="Courier New"/>
          <w:sz w:val="24"/>
          <w:szCs w:val="24"/>
          <w:lang w:val="es-MX"/>
        </w:rPr>
        <w:t xml:space="preserve"> de las instituciones financier</w:t>
      </w:r>
      <w:r w:rsidR="00A42F59">
        <w:rPr>
          <w:rFonts w:ascii="Futura Lt BT" w:eastAsia="Calibri" w:hAnsi="Futura Lt BT" w:cs="Courier New"/>
          <w:sz w:val="24"/>
          <w:szCs w:val="24"/>
          <w:lang w:val="es-MX"/>
        </w:rPr>
        <w:t>a</w:t>
      </w:r>
      <w:r w:rsidR="00C27B19">
        <w:rPr>
          <w:rFonts w:ascii="Futura Lt BT" w:eastAsia="Calibri" w:hAnsi="Futura Lt BT" w:cs="Courier New"/>
          <w:sz w:val="24"/>
          <w:szCs w:val="24"/>
          <w:lang w:val="es-MX"/>
        </w:rPr>
        <w:t>s (-US$8.7 millones).</w:t>
      </w:r>
      <w:r w:rsidR="00731053" w:rsidRPr="00AA6B74">
        <w:rPr>
          <w:rFonts w:ascii="Futura Lt BT" w:eastAsia="Calibri" w:hAnsi="Futura Lt BT" w:cs="Courier New"/>
          <w:sz w:val="24"/>
          <w:szCs w:val="24"/>
          <w:lang w:val="es-MX"/>
        </w:rPr>
        <w:t xml:space="preserve"> </w:t>
      </w:r>
    </w:p>
    <w:p w:rsidR="00043DF9" w:rsidRPr="00043DF9" w:rsidRDefault="00A32630" w:rsidP="00043DF9">
      <w:pPr>
        <w:spacing w:line="276" w:lineRule="auto"/>
        <w:jc w:val="both"/>
        <w:rPr>
          <w:rFonts w:ascii="Futura Lt BT" w:eastAsia="Calibri" w:hAnsi="Futura Lt BT" w:cs="Courier New"/>
          <w:sz w:val="24"/>
          <w:szCs w:val="24"/>
          <w:lang w:val="es-MX"/>
        </w:rPr>
      </w:pPr>
      <w:r w:rsidRPr="00ED3769">
        <w:rPr>
          <w:rFonts w:ascii="Futura Lt BT" w:hAnsi="Futura Lt BT" w:cs="Courier New"/>
          <w:sz w:val="24"/>
          <w:szCs w:val="24"/>
          <w:lang w:val="es-MX"/>
        </w:rPr>
        <w:t xml:space="preserve">En términos acumulados, </w:t>
      </w:r>
      <w:r w:rsidRPr="00ED3769">
        <w:rPr>
          <w:rFonts w:ascii="Futura Lt BT" w:eastAsia="Calibri" w:hAnsi="Futura Lt BT" w:cs="Courier New"/>
          <w:sz w:val="24"/>
          <w:szCs w:val="24"/>
          <w:lang w:val="es-MX"/>
        </w:rPr>
        <w:t xml:space="preserve">el ingreso bruto de inversión extranjera directa (IED) fue de </w:t>
      </w:r>
      <w:r w:rsidR="00ED3769" w:rsidRPr="00ED3769">
        <w:rPr>
          <w:rFonts w:ascii="Futura Lt BT" w:eastAsia="Calibri" w:hAnsi="Futura Lt BT" w:cs="Courier New"/>
          <w:sz w:val="24"/>
          <w:szCs w:val="24"/>
          <w:lang w:val="es-MX"/>
        </w:rPr>
        <w:t>1</w:t>
      </w:r>
      <w:r w:rsidRPr="00ED3769">
        <w:rPr>
          <w:rFonts w:ascii="Futura Lt BT" w:eastAsia="Calibri" w:hAnsi="Futura Lt BT" w:cs="Courier New"/>
          <w:sz w:val="24"/>
          <w:szCs w:val="24"/>
          <w:lang w:val="es-MX"/>
        </w:rPr>
        <w:t>,</w:t>
      </w:r>
      <w:r w:rsidR="006F25A1">
        <w:rPr>
          <w:rFonts w:ascii="Futura Lt BT" w:eastAsia="Calibri" w:hAnsi="Futura Lt BT" w:cs="Courier New"/>
          <w:sz w:val="24"/>
          <w:szCs w:val="24"/>
          <w:lang w:val="es-MX"/>
        </w:rPr>
        <w:t>588</w:t>
      </w:r>
      <w:r w:rsidRPr="00ED3769">
        <w:rPr>
          <w:rFonts w:ascii="Futura Lt BT" w:eastAsia="Calibri" w:hAnsi="Futura Lt BT" w:cs="Courier New"/>
          <w:sz w:val="24"/>
          <w:szCs w:val="24"/>
          <w:lang w:val="es-MX"/>
        </w:rPr>
        <w:t>.</w:t>
      </w:r>
      <w:r w:rsidR="00ED3769" w:rsidRPr="00ED3769">
        <w:rPr>
          <w:rFonts w:ascii="Futura Lt BT" w:eastAsia="Calibri" w:hAnsi="Futura Lt BT" w:cs="Courier New"/>
          <w:sz w:val="24"/>
          <w:szCs w:val="24"/>
          <w:lang w:val="es-MX"/>
        </w:rPr>
        <w:t>6</w:t>
      </w:r>
      <w:r w:rsidRPr="00ED3769">
        <w:rPr>
          <w:rFonts w:ascii="Futura Lt BT" w:eastAsia="Calibri" w:hAnsi="Futura Lt BT" w:cs="Courier New"/>
          <w:sz w:val="24"/>
          <w:szCs w:val="24"/>
          <w:lang w:val="es-MX"/>
        </w:rPr>
        <w:t xml:space="preserve"> millones de dólares, reflejando un aumento de </w:t>
      </w:r>
      <w:r w:rsidR="00ED3769" w:rsidRPr="00ED3769">
        <w:rPr>
          <w:rFonts w:ascii="Futura Lt BT" w:eastAsia="Calibri" w:hAnsi="Futura Lt BT" w:cs="Courier New"/>
          <w:sz w:val="24"/>
          <w:szCs w:val="24"/>
          <w:lang w:val="es-MX"/>
        </w:rPr>
        <w:t>1</w:t>
      </w:r>
      <w:r w:rsidR="006F25A1">
        <w:rPr>
          <w:rFonts w:ascii="Futura Lt BT" w:eastAsia="Calibri" w:hAnsi="Futura Lt BT" w:cs="Courier New"/>
          <w:sz w:val="24"/>
          <w:szCs w:val="24"/>
          <w:lang w:val="es-MX"/>
        </w:rPr>
        <w:t>1.3</w:t>
      </w:r>
      <w:r w:rsidRPr="00ED3769">
        <w:rPr>
          <w:rFonts w:ascii="Futura Lt BT" w:eastAsia="Calibri" w:hAnsi="Futura Lt BT" w:cs="Courier New"/>
          <w:sz w:val="24"/>
          <w:szCs w:val="24"/>
          <w:lang w:val="es-MX"/>
        </w:rPr>
        <w:t xml:space="preserve"> por ciento </w:t>
      </w:r>
      <w:r w:rsidRPr="00A32630">
        <w:rPr>
          <w:rFonts w:ascii="Futura Lt BT" w:eastAsia="Calibri" w:hAnsi="Futura Lt BT" w:cs="Courier New"/>
          <w:sz w:val="24"/>
          <w:szCs w:val="24"/>
          <w:lang w:val="es-MX"/>
        </w:rPr>
        <w:t>con respecto a</w:t>
      </w:r>
      <w:r w:rsidR="00634AF0">
        <w:rPr>
          <w:rFonts w:ascii="Futura Lt BT" w:eastAsia="Calibri" w:hAnsi="Futura Lt BT" w:cs="Courier New"/>
          <w:sz w:val="24"/>
          <w:szCs w:val="24"/>
          <w:lang w:val="es-MX"/>
        </w:rPr>
        <w:t xml:space="preserve">l </w:t>
      </w:r>
      <w:r w:rsidR="008F02A9">
        <w:rPr>
          <w:rFonts w:ascii="Futura Lt BT" w:eastAsia="Calibri" w:hAnsi="Futura Lt BT" w:cs="Courier New"/>
          <w:sz w:val="24"/>
          <w:szCs w:val="24"/>
          <w:lang w:val="es-MX"/>
        </w:rPr>
        <w:t>primer</w:t>
      </w:r>
      <w:r w:rsidR="00634AF0">
        <w:rPr>
          <w:rFonts w:ascii="Futura Lt BT" w:eastAsia="Calibri" w:hAnsi="Futura Lt BT" w:cs="Courier New"/>
          <w:sz w:val="24"/>
          <w:szCs w:val="24"/>
          <w:lang w:val="es-MX"/>
        </w:rPr>
        <w:t xml:space="preserve"> </w:t>
      </w:r>
      <w:r w:rsidR="008F02A9">
        <w:rPr>
          <w:rFonts w:ascii="Futura Lt BT" w:eastAsia="Calibri" w:hAnsi="Futura Lt BT" w:cs="Courier New"/>
          <w:sz w:val="24"/>
          <w:szCs w:val="24"/>
          <w:lang w:val="es-MX"/>
        </w:rPr>
        <w:t>semestre</w:t>
      </w:r>
      <w:r w:rsidRPr="00A32630">
        <w:rPr>
          <w:rFonts w:ascii="Futura Lt BT" w:eastAsia="Calibri" w:hAnsi="Futura Lt BT" w:cs="Courier New"/>
          <w:sz w:val="24"/>
          <w:szCs w:val="24"/>
          <w:lang w:val="es-MX"/>
        </w:rPr>
        <w:t xml:space="preserve"> </w:t>
      </w:r>
      <w:r w:rsidR="004F4854">
        <w:rPr>
          <w:rFonts w:ascii="Futura Lt BT" w:eastAsia="Calibri" w:hAnsi="Futura Lt BT" w:cs="Courier New"/>
          <w:sz w:val="24"/>
          <w:szCs w:val="24"/>
          <w:lang w:val="es-MX"/>
        </w:rPr>
        <w:t xml:space="preserve">de </w:t>
      </w:r>
      <w:r w:rsidRPr="00A32630">
        <w:rPr>
          <w:rFonts w:ascii="Futura Lt BT" w:eastAsia="Calibri" w:hAnsi="Futura Lt BT" w:cs="Courier New"/>
          <w:sz w:val="24"/>
          <w:szCs w:val="24"/>
          <w:lang w:val="es-MX"/>
        </w:rPr>
        <w:t>2023 (US$1,42</w:t>
      </w:r>
      <w:r>
        <w:rPr>
          <w:rFonts w:ascii="Futura Lt BT" w:eastAsia="Calibri" w:hAnsi="Futura Lt BT" w:cs="Courier New"/>
          <w:sz w:val="24"/>
          <w:szCs w:val="24"/>
          <w:lang w:val="es-MX"/>
        </w:rPr>
        <w:t>7</w:t>
      </w:r>
      <w:r w:rsidRPr="00A32630">
        <w:rPr>
          <w:rFonts w:ascii="Futura Lt BT" w:eastAsia="Calibri" w:hAnsi="Futura Lt BT" w:cs="Courier New"/>
          <w:sz w:val="24"/>
          <w:szCs w:val="24"/>
          <w:lang w:val="es-MX"/>
        </w:rPr>
        <w:t>.</w:t>
      </w:r>
      <w:r>
        <w:rPr>
          <w:rFonts w:ascii="Futura Lt BT" w:eastAsia="Calibri" w:hAnsi="Futura Lt BT" w:cs="Courier New"/>
          <w:sz w:val="24"/>
          <w:szCs w:val="24"/>
          <w:lang w:val="es-MX"/>
        </w:rPr>
        <w:t>7</w:t>
      </w:r>
      <w:r w:rsidRPr="00A32630">
        <w:rPr>
          <w:rFonts w:ascii="Futura Lt BT" w:eastAsia="Calibri" w:hAnsi="Futura Lt BT" w:cs="Courier New"/>
          <w:sz w:val="24"/>
          <w:szCs w:val="24"/>
          <w:lang w:val="es-MX"/>
        </w:rPr>
        <w:t xml:space="preserve"> </w:t>
      </w:r>
      <w:r w:rsidRPr="00AF5D85">
        <w:rPr>
          <w:rFonts w:ascii="Futura Lt BT" w:eastAsia="Calibri" w:hAnsi="Futura Lt BT" w:cs="Courier New"/>
          <w:sz w:val="24"/>
          <w:szCs w:val="24"/>
          <w:lang w:val="es-MX"/>
        </w:rPr>
        <w:t xml:space="preserve">millones), </w:t>
      </w:r>
      <w:r w:rsidR="004906D0">
        <w:rPr>
          <w:rFonts w:ascii="Futura Lt BT" w:eastAsia="Calibri" w:hAnsi="Futura Lt BT" w:cs="Courier New"/>
          <w:sz w:val="24"/>
          <w:szCs w:val="24"/>
          <w:lang w:val="es-MX"/>
        </w:rPr>
        <w:t xml:space="preserve">debido </w:t>
      </w:r>
      <w:r w:rsidR="00735063">
        <w:rPr>
          <w:rFonts w:ascii="Futura Lt BT" w:eastAsia="Calibri" w:hAnsi="Futura Lt BT" w:cs="Courier New"/>
          <w:sz w:val="24"/>
          <w:szCs w:val="24"/>
          <w:lang w:val="es-MX"/>
        </w:rPr>
        <w:t xml:space="preserve">al aumento de 13.4 por ciento en los </w:t>
      </w:r>
      <w:r w:rsidRPr="00A32630">
        <w:rPr>
          <w:rFonts w:ascii="Futura Lt BT" w:eastAsia="Calibri" w:hAnsi="Futura Lt BT" w:cs="Courier New"/>
          <w:sz w:val="24"/>
          <w:szCs w:val="24"/>
          <w:lang w:val="es-MX"/>
        </w:rPr>
        <w:t>desembolsos de deuda relacionada</w:t>
      </w:r>
      <w:r w:rsidR="00735063">
        <w:rPr>
          <w:rFonts w:ascii="Futura Lt BT" w:eastAsia="Calibri" w:hAnsi="Futura Lt BT" w:cs="Courier New"/>
          <w:sz w:val="24"/>
          <w:szCs w:val="24"/>
          <w:lang w:val="es-MX"/>
        </w:rPr>
        <w:t>, y de mayores aportes de capital, principalmente en los sectores de manufactura y pesca</w:t>
      </w:r>
      <w:r w:rsidRPr="00A32630">
        <w:rPr>
          <w:rFonts w:ascii="Futura Lt BT" w:eastAsia="Calibri" w:hAnsi="Futura Lt BT" w:cs="Courier New"/>
          <w:sz w:val="24"/>
          <w:szCs w:val="24"/>
          <w:lang w:val="es-MX"/>
        </w:rPr>
        <w:t xml:space="preserve">. </w:t>
      </w:r>
      <w:r w:rsidRPr="00C451A4">
        <w:rPr>
          <w:rFonts w:ascii="Futura Lt BT" w:eastAsia="Calibri" w:hAnsi="Futura Lt BT" w:cs="Courier New"/>
          <w:sz w:val="24"/>
          <w:szCs w:val="24"/>
          <w:lang w:val="es-MX"/>
        </w:rPr>
        <w:t>Asimismo, se registr</w:t>
      </w:r>
      <w:r w:rsidR="004F4854">
        <w:rPr>
          <w:rFonts w:ascii="Futura Lt BT" w:eastAsia="Calibri" w:hAnsi="Futura Lt BT" w:cs="Courier New"/>
          <w:sz w:val="24"/>
          <w:szCs w:val="24"/>
          <w:lang w:val="es-MX"/>
        </w:rPr>
        <w:t xml:space="preserve">aron </w:t>
      </w:r>
      <w:r w:rsidRPr="00C451A4">
        <w:rPr>
          <w:rFonts w:ascii="Futura Lt BT" w:eastAsia="Calibri" w:hAnsi="Futura Lt BT" w:cs="Courier New"/>
          <w:sz w:val="24"/>
          <w:szCs w:val="24"/>
          <w:lang w:val="es-MX"/>
        </w:rPr>
        <w:t xml:space="preserve">desembolsos netos de préstamos externos por </w:t>
      </w:r>
      <w:r w:rsidR="003F7BB6" w:rsidRPr="00C451A4">
        <w:rPr>
          <w:rFonts w:ascii="Futura Lt BT" w:eastAsia="Calibri" w:hAnsi="Futura Lt BT" w:cs="Courier New"/>
          <w:sz w:val="24"/>
          <w:szCs w:val="24"/>
          <w:lang w:val="es-MX"/>
        </w:rPr>
        <w:t>4</w:t>
      </w:r>
      <w:r w:rsidRPr="00C451A4">
        <w:rPr>
          <w:rFonts w:ascii="Futura Lt BT" w:eastAsia="Calibri" w:hAnsi="Futura Lt BT" w:cs="Courier New"/>
          <w:sz w:val="24"/>
          <w:szCs w:val="24"/>
          <w:lang w:val="es-MX"/>
        </w:rPr>
        <w:t>2.</w:t>
      </w:r>
      <w:r w:rsidR="005E0DBA">
        <w:rPr>
          <w:rFonts w:ascii="Futura Lt BT" w:eastAsia="Calibri" w:hAnsi="Futura Lt BT" w:cs="Courier New"/>
          <w:sz w:val="24"/>
          <w:szCs w:val="24"/>
          <w:lang w:val="es-MX"/>
        </w:rPr>
        <w:t>4</w:t>
      </w:r>
      <w:r w:rsidRPr="00C451A4">
        <w:rPr>
          <w:rFonts w:ascii="Futura Lt BT" w:eastAsia="Calibri" w:hAnsi="Futura Lt BT" w:cs="Courier New"/>
          <w:sz w:val="24"/>
          <w:szCs w:val="24"/>
          <w:lang w:val="es-MX"/>
        </w:rPr>
        <w:t xml:space="preserve"> millones de dólares</w:t>
      </w:r>
      <w:r w:rsidR="004F4854" w:rsidRPr="004F4854">
        <w:rPr>
          <w:rFonts w:ascii="Futura Lt BT" w:eastAsia="Calibri" w:hAnsi="Futura Lt BT" w:cs="Courier New"/>
          <w:sz w:val="24"/>
          <w:szCs w:val="24"/>
          <w:lang w:val="es-MX"/>
        </w:rPr>
        <w:t xml:space="preserve"> </w:t>
      </w:r>
      <w:r w:rsidR="004F4854" w:rsidRPr="00C451A4">
        <w:rPr>
          <w:rFonts w:ascii="Futura Lt BT" w:eastAsia="Calibri" w:hAnsi="Futura Lt BT" w:cs="Courier New"/>
          <w:sz w:val="24"/>
          <w:szCs w:val="24"/>
          <w:lang w:val="es-MX"/>
        </w:rPr>
        <w:t xml:space="preserve">en el </w:t>
      </w:r>
      <w:r w:rsidR="005E0DBA">
        <w:rPr>
          <w:rFonts w:ascii="Futura Lt BT" w:eastAsia="Calibri" w:hAnsi="Futura Lt BT" w:cs="Courier New"/>
          <w:sz w:val="24"/>
          <w:szCs w:val="24"/>
          <w:lang w:val="es-MX"/>
        </w:rPr>
        <w:t>primer semestre del año</w:t>
      </w:r>
      <w:r w:rsidRPr="00C451A4">
        <w:rPr>
          <w:rFonts w:ascii="Futura Lt BT" w:eastAsia="Calibri" w:hAnsi="Futura Lt BT" w:cs="Courier New"/>
          <w:sz w:val="24"/>
          <w:szCs w:val="24"/>
          <w:lang w:val="es-MX"/>
        </w:rPr>
        <w:t>, como resultado de desembolsos netos dirigidos al Gobierno (US$</w:t>
      </w:r>
      <w:r w:rsidR="003F7BB6" w:rsidRPr="00C451A4">
        <w:rPr>
          <w:rFonts w:ascii="Futura Lt BT" w:eastAsia="Calibri" w:hAnsi="Futura Lt BT" w:cs="Courier New"/>
          <w:sz w:val="24"/>
          <w:szCs w:val="24"/>
          <w:lang w:val="es-MX"/>
        </w:rPr>
        <w:t>1</w:t>
      </w:r>
      <w:r w:rsidRPr="00C451A4">
        <w:rPr>
          <w:rFonts w:ascii="Futura Lt BT" w:eastAsia="Calibri" w:hAnsi="Futura Lt BT" w:cs="Courier New"/>
          <w:sz w:val="24"/>
          <w:szCs w:val="24"/>
          <w:lang w:val="es-MX"/>
        </w:rPr>
        <w:t>2</w:t>
      </w:r>
      <w:r w:rsidR="005E0DBA">
        <w:rPr>
          <w:rFonts w:ascii="Futura Lt BT" w:eastAsia="Calibri" w:hAnsi="Futura Lt BT" w:cs="Courier New"/>
          <w:sz w:val="24"/>
          <w:szCs w:val="24"/>
          <w:lang w:val="es-MX"/>
        </w:rPr>
        <w:t>0.9</w:t>
      </w:r>
      <w:r w:rsidRPr="00C451A4">
        <w:rPr>
          <w:rFonts w:ascii="Futura Lt BT" w:eastAsia="Calibri" w:hAnsi="Futura Lt BT" w:cs="Courier New"/>
          <w:sz w:val="24"/>
          <w:szCs w:val="24"/>
          <w:lang w:val="es-MX"/>
        </w:rPr>
        <w:t xml:space="preserve"> millones),</w:t>
      </w:r>
      <w:r w:rsidR="005E0DBA">
        <w:rPr>
          <w:rFonts w:ascii="Futura Lt BT" w:eastAsia="Calibri" w:hAnsi="Futura Lt BT" w:cs="Courier New"/>
          <w:sz w:val="24"/>
          <w:szCs w:val="24"/>
          <w:lang w:val="es-MX"/>
        </w:rPr>
        <w:t xml:space="preserve"> Banco Central (US$13.5 millones)</w:t>
      </w:r>
      <w:r w:rsidRPr="00C451A4">
        <w:rPr>
          <w:rFonts w:ascii="Futura Lt BT" w:eastAsia="Calibri" w:hAnsi="Futura Lt BT" w:cs="Courier New"/>
          <w:sz w:val="24"/>
          <w:szCs w:val="24"/>
          <w:lang w:val="es-MX"/>
        </w:rPr>
        <w:t xml:space="preserve"> y </w:t>
      </w:r>
      <w:r w:rsidR="005E0DBA">
        <w:rPr>
          <w:rFonts w:ascii="Futura Lt BT" w:eastAsia="Calibri" w:hAnsi="Futura Lt BT" w:cs="Courier New"/>
          <w:sz w:val="24"/>
          <w:szCs w:val="24"/>
          <w:lang w:val="es-MX"/>
        </w:rPr>
        <w:t xml:space="preserve">a Otros sectores (US$46.0 millones), lo cual fue atenuado por </w:t>
      </w:r>
      <w:r w:rsidRPr="00C451A4">
        <w:rPr>
          <w:rFonts w:ascii="Futura Lt BT" w:eastAsia="Calibri" w:hAnsi="Futura Lt BT" w:cs="Courier New"/>
          <w:sz w:val="24"/>
          <w:szCs w:val="24"/>
          <w:lang w:val="es-MX"/>
        </w:rPr>
        <w:t xml:space="preserve">pagos netos de la deuda externa </w:t>
      </w:r>
      <w:r w:rsidR="003F7BB6" w:rsidRPr="00C451A4">
        <w:rPr>
          <w:rFonts w:ascii="Futura Lt BT" w:eastAsia="Calibri" w:hAnsi="Futura Lt BT" w:cs="Courier New"/>
          <w:sz w:val="24"/>
          <w:szCs w:val="24"/>
          <w:lang w:val="es-MX"/>
        </w:rPr>
        <w:t>de las instituciones financier</w:t>
      </w:r>
      <w:r w:rsidR="00A42F59">
        <w:rPr>
          <w:rFonts w:ascii="Futura Lt BT" w:eastAsia="Calibri" w:hAnsi="Futura Lt BT" w:cs="Courier New"/>
          <w:sz w:val="24"/>
          <w:szCs w:val="24"/>
          <w:lang w:val="es-MX"/>
        </w:rPr>
        <w:t>a</w:t>
      </w:r>
      <w:r w:rsidR="003F7BB6" w:rsidRPr="00C451A4">
        <w:rPr>
          <w:rFonts w:ascii="Futura Lt BT" w:eastAsia="Calibri" w:hAnsi="Futura Lt BT" w:cs="Courier New"/>
          <w:sz w:val="24"/>
          <w:szCs w:val="24"/>
          <w:lang w:val="es-MX"/>
        </w:rPr>
        <w:t>s</w:t>
      </w:r>
      <w:r w:rsidRPr="00C451A4">
        <w:rPr>
          <w:rFonts w:ascii="Futura Lt BT" w:eastAsia="Calibri" w:hAnsi="Futura Lt BT" w:cs="Courier New"/>
          <w:sz w:val="24"/>
          <w:szCs w:val="24"/>
          <w:lang w:val="es-MX"/>
        </w:rPr>
        <w:t xml:space="preserve"> (US$13</w:t>
      </w:r>
      <w:r w:rsidR="00C451A4" w:rsidRPr="00C451A4">
        <w:rPr>
          <w:rFonts w:ascii="Futura Lt BT" w:eastAsia="Calibri" w:hAnsi="Futura Lt BT" w:cs="Courier New"/>
          <w:sz w:val="24"/>
          <w:szCs w:val="24"/>
          <w:lang w:val="es-MX"/>
        </w:rPr>
        <w:t>5</w:t>
      </w:r>
      <w:r w:rsidRPr="00C451A4">
        <w:rPr>
          <w:rFonts w:ascii="Futura Lt BT" w:eastAsia="Calibri" w:hAnsi="Futura Lt BT" w:cs="Courier New"/>
          <w:sz w:val="24"/>
          <w:szCs w:val="24"/>
          <w:lang w:val="es-MX"/>
        </w:rPr>
        <w:t>.</w:t>
      </w:r>
      <w:r w:rsidR="00C451A4" w:rsidRPr="00C451A4">
        <w:rPr>
          <w:rFonts w:ascii="Futura Lt BT" w:eastAsia="Calibri" w:hAnsi="Futura Lt BT" w:cs="Courier New"/>
          <w:sz w:val="24"/>
          <w:szCs w:val="24"/>
          <w:lang w:val="es-MX"/>
        </w:rPr>
        <w:t>7</w:t>
      </w:r>
      <w:r w:rsidRPr="00C451A4">
        <w:rPr>
          <w:rFonts w:ascii="Futura Lt BT" w:eastAsia="Calibri" w:hAnsi="Futura Lt BT" w:cs="Courier New"/>
          <w:sz w:val="24"/>
          <w:szCs w:val="24"/>
          <w:lang w:val="es-MX"/>
        </w:rPr>
        <w:t xml:space="preserve"> millones).</w:t>
      </w:r>
    </w:p>
    <w:p w:rsidR="00043DF9" w:rsidRPr="00043DF9" w:rsidRDefault="00043DF9" w:rsidP="00043DF9">
      <w:pPr>
        <w:spacing w:line="276" w:lineRule="auto"/>
        <w:jc w:val="both"/>
        <w:rPr>
          <w:rFonts w:ascii="Futura Lt BT" w:eastAsia="Calibri" w:hAnsi="Futura Lt BT" w:cs="Courier New"/>
          <w:sz w:val="24"/>
          <w:szCs w:val="24"/>
          <w:lang w:val="es-MX"/>
        </w:rPr>
      </w:pPr>
      <w:r w:rsidRPr="00043DF9">
        <w:rPr>
          <w:rFonts w:ascii="Futura Lt BT" w:eastAsia="Calibri" w:hAnsi="Futura Lt BT" w:cs="Courier New"/>
          <w:sz w:val="24"/>
          <w:szCs w:val="24"/>
          <w:lang w:val="es-MX"/>
        </w:rPr>
        <w:t>Los activos de reserva del BCN aumentaron</w:t>
      </w:r>
      <w:r w:rsidR="00996939" w:rsidRPr="00043DF9">
        <w:rPr>
          <w:rFonts w:ascii="Futura Lt BT" w:eastAsia="Calibri" w:hAnsi="Futura Lt BT" w:cs="Courier New"/>
          <w:sz w:val="24"/>
          <w:szCs w:val="24"/>
          <w:lang w:val="es-MX"/>
        </w:rPr>
        <w:t xml:space="preserve"> </w:t>
      </w:r>
      <w:r w:rsidR="0035079B" w:rsidRPr="00043DF9">
        <w:rPr>
          <w:rFonts w:ascii="Futura Lt BT" w:eastAsia="Calibri" w:hAnsi="Futura Lt BT" w:cs="Courier New"/>
          <w:sz w:val="24"/>
          <w:szCs w:val="24"/>
          <w:lang w:val="es-MX"/>
        </w:rPr>
        <w:t xml:space="preserve">en </w:t>
      </w:r>
      <w:r>
        <w:rPr>
          <w:rFonts w:ascii="Futura Lt BT" w:eastAsia="Calibri" w:hAnsi="Futura Lt BT" w:cs="Courier New"/>
          <w:sz w:val="24"/>
          <w:szCs w:val="24"/>
          <w:lang w:val="es-MX"/>
        </w:rPr>
        <w:t>188.1</w:t>
      </w:r>
      <w:r w:rsidR="008A74AE" w:rsidRPr="00043DF9">
        <w:rPr>
          <w:rFonts w:ascii="Futura Lt BT" w:eastAsia="Calibri" w:hAnsi="Futura Lt BT" w:cs="Courier New"/>
          <w:sz w:val="24"/>
          <w:szCs w:val="24"/>
          <w:lang w:val="es-MX"/>
        </w:rPr>
        <w:t xml:space="preserve"> </w:t>
      </w:r>
      <w:r w:rsidR="006A17B4" w:rsidRPr="00043DF9">
        <w:rPr>
          <w:rFonts w:ascii="Futura Lt BT" w:eastAsia="Calibri" w:hAnsi="Futura Lt BT" w:cs="Courier New"/>
          <w:sz w:val="24"/>
          <w:szCs w:val="24"/>
          <w:lang w:val="es-MX"/>
        </w:rPr>
        <w:t>millones</w:t>
      </w:r>
      <w:r w:rsidR="006B2AC5" w:rsidRPr="00043DF9">
        <w:rPr>
          <w:rFonts w:ascii="Futura Lt BT" w:eastAsia="Calibri" w:hAnsi="Futura Lt BT" w:cs="Courier New"/>
          <w:sz w:val="24"/>
          <w:szCs w:val="24"/>
          <w:lang w:val="es-MX"/>
        </w:rPr>
        <w:t xml:space="preserve"> de dólares</w:t>
      </w:r>
      <w:r w:rsidR="006A17B4" w:rsidRPr="00043DF9">
        <w:rPr>
          <w:rFonts w:ascii="Futura Lt BT" w:eastAsia="Calibri" w:hAnsi="Futura Lt BT" w:cs="Courier New"/>
          <w:sz w:val="24"/>
          <w:szCs w:val="24"/>
          <w:lang w:val="es-MX"/>
        </w:rPr>
        <w:t xml:space="preserve"> </w:t>
      </w:r>
      <w:r w:rsidRPr="00043DF9">
        <w:rPr>
          <w:rFonts w:ascii="Futura Lt BT" w:eastAsia="Calibri" w:hAnsi="Futura Lt BT" w:cs="Courier New"/>
          <w:sz w:val="24"/>
          <w:szCs w:val="24"/>
          <w:lang w:val="es-MX"/>
        </w:rPr>
        <w:t xml:space="preserve">en el segundo trimestre </w:t>
      </w:r>
      <w:r w:rsidR="008A74AE" w:rsidRPr="00043DF9">
        <w:rPr>
          <w:rFonts w:ascii="Futura Lt BT" w:eastAsia="Calibri" w:hAnsi="Futura Lt BT" w:cs="Courier New"/>
          <w:sz w:val="24"/>
          <w:szCs w:val="24"/>
          <w:lang w:val="es-MX"/>
        </w:rPr>
        <w:t>(US$</w:t>
      </w:r>
      <w:r w:rsidR="007F169E" w:rsidRPr="00043DF9">
        <w:rPr>
          <w:rFonts w:ascii="Futura Lt BT" w:eastAsia="Calibri" w:hAnsi="Futura Lt BT" w:cs="Courier New"/>
          <w:sz w:val="24"/>
          <w:szCs w:val="24"/>
          <w:lang w:val="es-MX"/>
        </w:rPr>
        <w:t>19</w:t>
      </w:r>
      <w:r w:rsidR="00C42651" w:rsidRPr="00043DF9">
        <w:rPr>
          <w:rFonts w:ascii="Futura Lt BT" w:eastAsia="Calibri" w:hAnsi="Futura Lt BT" w:cs="Courier New"/>
          <w:sz w:val="24"/>
          <w:szCs w:val="24"/>
          <w:lang w:val="es-MX"/>
        </w:rPr>
        <w:t>2</w:t>
      </w:r>
      <w:r w:rsidR="007F169E" w:rsidRPr="00043DF9">
        <w:rPr>
          <w:rFonts w:ascii="Futura Lt BT" w:eastAsia="Calibri" w:hAnsi="Futura Lt BT" w:cs="Courier New"/>
          <w:sz w:val="24"/>
          <w:szCs w:val="24"/>
          <w:lang w:val="es-MX"/>
        </w:rPr>
        <w:t>.</w:t>
      </w:r>
      <w:r w:rsidR="00C42651" w:rsidRPr="00043DF9">
        <w:rPr>
          <w:rFonts w:ascii="Futura Lt BT" w:eastAsia="Calibri" w:hAnsi="Futura Lt BT" w:cs="Courier New"/>
          <w:sz w:val="24"/>
          <w:szCs w:val="24"/>
          <w:lang w:val="es-MX"/>
        </w:rPr>
        <w:t>4</w:t>
      </w:r>
      <w:r w:rsidR="008A74AE" w:rsidRPr="00043DF9">
        <w:rPr>
          <w:rFonts w:ascii="Futura Lt BT" w:eastAsia="Calibri" w:hAnsi="Futura Lt BT" w:cs="Courier New"/>
          <w:sz w:val="24"/>
          <w:szCs w:val="24"/>
          <w:lang w:val="es-MX"/>
        </w:rPr>
        <w:t xml:space="preserve"> millones en RIB)</w:t>
      </w:r>
      <w:r w:rsidRPr="00043DF9">
        <w:rPr>
          <w:rFonts w:ascii="Futura Lt BT" w:eastAsia="Calibri" w:hAnsi="Futura Lt BT" w:cs="Courier New"/>
          <w:sz w:val="24"/>
          <w:szCs w:val="24"/>
          <w:lang w:val="es-MX"/>
        </w:rPr>
        <w:t>,</w:t>
      </w:r>
      <w:r w:rsidR="005C0EE2" w:rsidRPr="00043DF9">
        <w:rPr>
          <w:rFonts w:ascii="Futura Lt BT" w:eastAsia="Calibri" w:hAnsi="Futura Lt BT" w:cs="Courier New"/>
          <w:sz w:val="24"/>
          <w:szCs w:val="24"/>
          <w:lang w:val="es-MX"/>
        </w:rPr>
        <w:t xml:space="preserve"> </w:t>
      </w:r>
      <w:bookmarkStart w:id="6" w:name="_Hlk149573695"/>
      <w:r w:rsidR="00B72688" w:rsidRPr="00043DF9">
        <w:rPr>
          <w:rFonts w:ascii="Futura Lt BT" w:eastAsia="Calibri" w:hAnsi="Futura Lt BT" w:cs="Courier New"/>
          <w:sz w:val="24"/>
          <w:szCs w:val="24"/>
          <w:lang w:val="es-MX"/>
        </w:rPr>
        <w:t xml:space="preserve">para </w:t>
      </w:r>
      <w:r w:rsidR="00A97F1E">
        <w:rPr>
          <w:rFonts w:ascii="Futura Lt BT" w:eastAsia="Calibri" w:hAnsi="Futura Lt BT" w:cs="Courier New"/>
          <w:sz w:val="24"/>
          <w:szCs w:val="24"/>
          <w:lang w:val="es-MX"/>
        </w:rPr>
        <w:t>acumular 443.6 millones de dólares en el primer semestre del año (US$449.9</w:t>
      </w:r>
      <w:r w:rsidR="00A97F1E" w:rsidRPr="00043DF9">
        <w:rPr>
          <w:rFonts w:ascii="Futura Lt BT" w:eastAsia="Calibri" w:hAnsi="Futura Lt BT" w:cs="Courier New"/>
          <w:sz w:val="24"/>
          <w:szCs w:val="24"/>
          <w:lang w:val="es-MX"/>
        </w:rPr>
        <w:t xml:space="preserve"> millones en RIB)</w:t>
      </w:r>
      <w:r w:rsidR="00A97F1E">
        <w:rPr>
          <w:rFonts w:ascii="Futura Lt BT" w:eastAsia="Calibri" w:hAnsi="Futura Lt BT" w:cs="Courier New"/>
          <w:sz w:val="24"/>
          <w:szCs w:val="24"/>
          <w:lang w:val="es-MX"/>
        </w:rPr>
        <w:t>. Al finalizar el primer semestre, el</w:t>
      </w:r>
      <w:r w:rsidR="00B72688" w:rsidRPr="00043DF9">
        <w:rPr>
          <w:rFonts w:ascii="Futura Lt BT" w:eastAsia="Calibri" w:hAnsi="Futura Lt BT" w:cs="Courier New"/>
          <w:sz w:val="24"/>
          <w:szCs w:val="24"/>
          <w:lang w:val="es-MX"/>
        </w:rPr>
        <w:t xml:space="preserve"> saldo de </w:t>
      </w:r>
      <w:r>
        <w:rPr>
          <w:rFonts w:ascii="Futura Lt BT" w:eastAsia="Calibri" w:hAnsi="Futura Lt BT" w:cs="Courier New"/>
          <w:sz w:val="24"/>
          <w:szCs w:val="24"/>
          <w:lang w:val="es-MX"/>
        </w:rPr>
        <w:t xml:space="preserve">RIB </w:t>
      </w:r>
      <w:r w:rsidR="00A97F1E">
        <w:rPr>
          <w:rFonts w:ascii="Futura Lt BT" w:eastAsia="Calibri" w:hAnsi="Futura Lt BT" w:cs="Courier New"/>
          <w:sz w:val="24"/>
          <w:szCs w:val="24"/>
          <w:lang w:val="es-MX"/>
        </w:rPr>
        <w:t xml:space="preserve">fue </w:t>
      </w:r>
      <w:r>
        <w:rPr>
          <w:rFonts w:ascii="Futura Lt BT" w:eastAsia="Calibri" w:hAnsi="Futura Lt BT" w:cs="Courier New"/>
          <w:sz w:val="24"/>
          <w:szCs w:val="24"/>
          <w:lang w:val="es-MX"/>
        </w:rPr>
        <w:t xml:space="preserve">de </w:t>
      </w:r>
      <w:r w:rsidR="00B72688" w:rsidRPr="00043DF9">
        <w:rPr>
          <w:rFonts w:ascii="Futura Lt BT" w:eastAsia="Calibri" w:hAnsi="Futura Lt BT" w:cs="Courier New"/>
          <w:sz w:val="24"/>
          <w:szCs w:val="24"/>
          <w:lang w:val="es-MX"/>
        </w:rPr>
        <w:t>5,</w:t>
      </w:r>
      <w:r w:rsidR="00F34F28" w:rsidRPr="00043DF9">
        <w:rPr>
          <w:rFonts w:ascii="Futura Lt BT" w:eastAsia="Calibri" w:hAnsi="Futura Lt BT" w:cs="Courier New"/>
          <w:sz w:val="24"/>
          <w:szCs w:val="24"/>
          <w:lang w:val="es-MX"/>
        </w:rPr>
        <w:t>89</w:t>
      </w:r>
      <w:r w:rsidR="009D67E9" w:rsidRPr="00043DF9">
        <w:rPr>
          <w:rFonts w:ascii="Futura Lt BT" w:eastAsia="Calibri" w:hAnsi="Futura Lt BT" w:cs="Courier New"/>
          <w:sz w:val="24"/>
          <w:szCs w:val="24"/>
          <w:lang w:val="es-MX"/>
        </w:rPr>
        <w:t>6</w:t>
      </w:r>
      <w:r w:rsidR="00F34F28" w:rsidRPr="00043DF9">
        <w:rPr>
          <w:rFonts w:ascii="Futura Lt BT" w:eastAsia="Calibri" w:hAnsi="Futura Lt BT" w:cs="Courier New"/>
          <w:sz w:val="24"/>
          <w:szCs w:val="24"/>
          <w:lang w:val="es-MX"/>
        </w:rPr>
        <w:t>.9</w:t>
      </w:r>
      <w:r w:rsidR="00B72688" w:rsidRPr="00043DF9">
        <w:rPr>
          <w:rFonts w:ascii="Futura Lt BT" w:eastAsia="Calibri" w:hAnsi="Futura Lt BT" w:cs="Courier New"/>
          <w:sz w:val="24"/>
          <w:szCs w:val="24"/>
          <w:lang w:val="es-MX"/>
        </w:rPr>
        <w:t xml:space="preserve"> millones</w:t>
      </w:r>
      <w:r w:rsidR="008A7668" w:rsidRPr="00043DF9">
        <w:rPr>
          <w:rFonts w:ascii="Futura Lt BT" w:eastAsia="Calibri" w:hAnsi="Futura Lt BT" w:cs="Courier New"/>
          <w:sz w:val="24"/>
          <w:szCs w:val="24"/>
          <w:lang w:val="es-MX"/>
        </w:rPr>
        <w:t xml:space="preserve"> de dólares</w:t>
      </w:r>
      <w:r w:rsidR="00A97F1E">
        <w:rPr>
          <w:rFonts w:ascii="Futura Lt BT" w:eastAsia="Calibri" w:hAnsi="Futura Lt BT" w:cs="Courier New"/>
          <w:sz w:val="24"/>
          <w:szCs w:val="24"/>
          <w:lang w:val="es-MX"/>
        </w:rPr>
        <w:t>, como resu</w:t>
      </w:r>
      <w:r w:rsidR="005C0EE2" w:rsidRPr="00043DF9">
        <w:rPr>
          <w:rFonts w:ascii="Futura Lt BT" w:eastAsia="Calibri" w:hAnsi="Futura Lt BT" w:cs="Courier New"/>
          <w:sz w:val="24"/>
          <w:szCs w:val="24"/>
          <w:lang w:val="es-MX"/>
        </w:rPr>
        <w:t xml:space="preserve">ltado </w:t>
      </w:r>
      <w:bookmarkEnd w:id="6"/>
      <w:r w:rsidR="008A74AE" w:rsidRPr="00043DF9">
        <w:rPr>
          <w:rFonts w:ascii="Futura Lt BT" w:eastAsia="Calibri" w:hAnsi="Futura Lt BT" w:cs="Courier New"/>
          <w:sz w:val="24"/>
          <w:szCs w:val="24"/>
          <w:lang w:val="es-MX"/>
        </w:rPr>
        <w:t>de las operaciones monetarias y cambiarias</w:t>
      </w:r>
      <w:r w:rsidR="00401A71" w:rsidRPr="00043DF9">
        <w:rPr>
          <w:rFonts w:ascii="Futura Lt BT" w:eastAsia="Calibri" w:hAnsi="Futura Lt BT" w:cs="Courier New"/>
          <w:sz w:val="24"/>
          <w:szCs w:val="24"/>
          <w:lang w:val="es-MX"/>
        </w:rPr>
        <w:t xml:space="preserve"> implementadas, con el fin de preservar la estabilidad del Córdoba, el normal desenvolvimiento de los pagos internos y externos, y asegurar los niveles de liquidez necesarios del sistema financiero nacional.</w:t>
      </w:r>
      <w:bookmarkStart w:id="7" w:name="_Hlk149573337"/>
    </w:p>
    <w:p w:rsidR="00CA59EB" w:rsidRPr="00043DF9" w:rsidRDefault="00CA59EB" w:rsidP="00043DF9">
      <w:pPr>
        <w:spacing w:line="276" w:lineRule="auto"/>
        <w:jc w:val="both"/>
        <w:rPr>
          <w:rFonts w:ascii="Futura Lt BT" w:eastAsia="Calibri" w:hAnsi="Futura Lt BT" w:cs="Courier New"/>
          <w:sz w:val="24"/>
          <w:szCs w:val="24"/>
          <w:lang w:val="es-MX"/>
        </w:rPr>
      </w:pPr>
      <w:r w:rsidRPr="00043DF9">
        <w:rPr>
          <w:rFonts w:ascii="Futura Lt BT" w:eastAsia="Calibri" w:hAnsi="Futura Lt BT" w:cs="Courier New"/>
          <w:sz w:val="24"/>
          <w:szCs w:val="24"/>
          <w:lang w:val="es-MX"/>
        </w:rPr>
        <w:t xml:space="preserve">Como resultado de lo anterior, </w:t>
      </w:r>
      <w:r w:rsidR="005F0EA0">
        <w:rPr>
          <w:rFonts w:ascii="Futura Lt BT" w:eastAsia="Calibri" w:hAnsi="Futura Lt BT" w:cs="Courier New"/>
          <w:sz w:val="24"/>
          <w:szCs w:val="24"/>
          <w:lang w:val="es-MX"/>
        </w:rPr>
        <w:t xml:space="preserve">en </w:t>
      </w:r>
      <w:r w:rsidRPr="00043DF9">
        <w:rPr>
          <w:rFonts w:ascii="Futura Lt BT" w:eastAsia="Calibri" w:hAnsi="Futura Lt BT" w:cs="Courier New"/>
          <w:sz w:val="24"/>
          <w:szCs w:val="24"/>
          <w:lang w:val="es-MX"/>
        </w:rPr>
        <w:t xml:space="preserve">la balanza de pagos </w:t>
      </w:r>
      <w:r w:rsidR="00694DFB">
        <w:rPr>
          <w:rFonts w:ascii="Futura Lt BT" w:eastAsia="Calibri" w:hAnsi="Futura Lt BT" w:cs="Courier New"/>
          <w:sz w:val="24"/>
          <w:szCs w:val="24"/>
          <w:lang w:val="es-MX"/>
        </w:rPr>
        <w:t xml:space="preserve">del trimestre se </w:t>
      </w:r>
      <w:r w:rsidRPr="00043DF9">
        <w:rPr>
          <w:rFonts w:ascii="Futura Lt BT" w:eastAsia="Calibri" w:hAnsi="Futura Lt BT" w:cs="Courier New"/>
          <w:sz w:val="24"/>
          <w:szCs w:val="24"/>
          <w:lang w:val="es-MX"/>
        </w:rPr>
        <w:t xml:space="preserve">registró superávit de cuenta corriente </w:t>
      </w:r>
      <w:r w:rsidR="00CD6C47" w:rsidRPr="00043DF9">
        <w:rPr>
          <w:rFonts w:ascii="Futura Lt BT" w:eastAsia="Calibri" w:hAnsi="Futura Lt BT" w:cs="Courier New"/>
          <w:sz w:val="24"/>
          <w:szCs w:val="24"/>
          <w:lang w:val="es-MX"/>
        </w:rPr>
        <w:t xml:space="preserve">de </w:t>
      </w:r>
      <w:r w:rsidR="007F1D4D" w:rsidRPr="00043DF9">
        <w:rPr>
          <w:rFonts w:ascii="Futura Lt BT" w:eastAsia="Calibri" w:hAnsi="Futura Lt BT" w:cs="Courier New"/>
          <w:sz w:val="24"/>
          <w:szCs w:val="24"/>
          <w:lang w:val="es-MX"/>
        </w:rPr>
        <w:t>3</w:t>
      </w:r>
      <w:r w:rsidR="006F25A1">
        <w:rPr>
          <w:rFonts w:ascii="Futura Lt BT" w:eastAsia="Calibri" w:hAnsi="Futura Lt BT" w:cs="Courier New"/>
          <w:sz w:val="24"/>
          <w:szCs w:val="24"/>
          <w:lang w:val="es-MX"/>
        </w:rPr>
        <w:t>97</w:t>
      </w:r>
      <w:r w:rsidR="00972052" w:rsidRPr="00043DF9">
        <w:rPr>
          <w:rFonts w:ascii="Futura Lt BT" w:eastAsia="Calibri" w:hAnsi="Futura Lt BT" w:cs="Courier New"/>
          <w:sz w:val="24"/>
          <w:szCs w:val="24"/>
          <w:lang w:val="es-MX"/>
        </w:rPr>
        <w:t>.</w:t>
      </w:r>
      <w:r w:rsidR="007F1D4D" w:rsidRPr="00043DF9">
        <w:rPr>
          <w:rFonts w:ascii="Futura Lt BT" w:eastAsia="Calibri" w:hAnsi="Futura Lt BT" w:cs="Courier New"/>
          <w:sz w:val="24"/>
          <w:szCs w:val="24"/>
          <w:lang w:val="es-MX"/>
        </w:rPr>
        <w:t>5</w:t>
      </w:r>
      <w:r w:rsidRPr="00043DF9">
        <w:rPr>
          <w:rFonts w:ascii="Futura Lt BT" w:eastAsia="Calibri" w:hAnsi="Futura Lt BT" w:cs="Courier New"/>
          <w:sz w:val="24"/>
          <w:szCs w:val="24"/>
          <w:lang w:val="es-MX"/>
        </w:rPr>
        <w:t xml:space="preserve"> millones</w:t>
      </w:r>
      <w:r w:rsidR="00CD6C47" w:rsidRPr="00043DF9">
        <w:rPr>
          <w:rFonts w:ascii="Futura Lt BT" w:eastAsia="Calibri" w:hAnsi="Futura Lt BT" w:cs="Courier New"/>
          <w:sz w:val="24"/>
          <w:szCs w:val="24"/>
          <w:lang w:val="es-MX"/>
        </w:rPr>
        <w:t xml:space="preserve"> de dólares</w:t>
      </w:r>
      <w:r w:rsidR="00A97F1E" w:rsidRPr="00A97F1E">
        <w:rPr>
          <w:rFonts w:ascii="Futura Lt BT" w:eastAsia="Calibri" w:hAnsi="Futura Lt BT" w:cs="Courier New"/>
          <w:sz w:val="24"/>
          <w:szCs w:val="24"/>
          <w:lang w:val="es-MX"/>
        </w:rPr>
        <w:t xml:space="preserve"> </w:t>
      </w:r>
      <w:r w:rsidR="00A97F1E">
        <w:rPr>
          <w:rFonts w:ascii="Futura Lt BT" w:eastAsia="Calibri" w:hAnsi="Futura Lt BT" w:cs="Courier New"/>
          <w:sz w:val="24"/>
          <w:szCs w:val="24"/>
          <w:lang w:val="es-MX"/>
        </w:rPr>
        <w:t>(US$</w:t>
      </w:r>
      <w:r w:rsidR="006F25A1">
        <w:rPr>
          <w:rFonts w:ascii="Futura Lt BT" w:eastAsia="Calibri" w:hAnsi="Futura Lt BT" w:cs="Courier New"/>
          <w:sz w:val="24"/>
          <w:szCs w:val="24"/>
          <w:lang w:val="es-MX"/>
        </w:rPr>
        <w:t>553.6</w:t>
      </w:r>
      <w:r w:rsidR="00A97F1E">
        <w:rPr>
          <w:rFonts w:ascii="Futura Lt BT" w:eastAsia="Calibri" w:hAnsi="Futura Lt BT" w:cs="Courier New"/>
          <w:sz w:val="24"/>
          <w:szCs w:val="24"/>
          <w:lang w:val="es-MX"/>
        </w:rPr>
        <w:t xml:space="preserve"> millones acumulados en el primer semestre)</w:t>
      </w:r>
      <w:r w:rsidR="009D67E9" w:rsidRPr="00043DF9">
        <w:rPr>
          <w:rFonts w:ascii="Futura Lt BT" w:eastAsia="Calibri" w:hAnsi="Futura Lt BT" w:cs="Courier New"/>
          <w:sz w:val="24"/>
          <w:szCs w:val="24"/>
          <w:lang w:val="es-MX"/>
        </w:rPr>
        <w:t>;</w:t>
      </w:r>
      <w:r w:rsidRPr="00043DF9">
        <w:rPr>
          <w:rFonts w:ascii="Futura Lt BT" w:eastAsia="Calibri" w:hAnsi="Futura Lt BT" w:cs="Courier New"/>
          <w:sz w:val="24"/>
          <w:szCs w:val="24"/>
          <w:lang w:val="es-MX"/>
        </w:rPr>
        <w:t xml:space="preserve"> </w:t>
      </w:r>
      <w:r w:rsidR="00D979EB">
        <w:rPr>
          <w:rFonts w:ascii="Futura Lt BT" w:eastAsia="Calibri" w:hAnsi="Futura Lt BT" w:cs="Courier New"/>
          <w:sz w:val="24"/>
          <w:szCs w:val="24"/>
          <w:lang w:val="es-MX"/>
        </w:rPr>
        <w:t xml:space="preserve">ingresos </w:t>
      </w:r>
      <w:r w:rsidR="005F0EA0">
        <w:rPr>
          <w:rFonts w:ascii="Futura Lt BT" w:eastAsia="Calibri" w:hAnsi="Futura Lt BT" w:cs="Courier New"/>
          <w:sz w:val="24"/>
          <w:szCs w:val="24"/>
          <w:lang w:val="es-MX"/>
        </w:rPr>
        <w:t xml:space="preserve">de 13.5 millones de dólares </w:t>
      </w:r>
      <w:r w:rsidR="00CD6C47" w:rsidRPr="00043DF9">
        <w:rPr>
          <w:rFonts w:ascii="Futura Lt BT" w:eastAsia="Calibri" w:hAnsi="Futura Lt BT" w:cs="Courier New"/>
          <w:sz w:val="24"/>
          <w:szCs w:val="24"/>
          <w:lang w:val="es-MX"/>
        </w:rPr>
        <w:t xml:space="preserve">en la cuenta </w:t>
      </w:r>
      <w:r w:rsidR="00A97F1E" w:rsidRPr="00043DF9">
        <w:rPr>
          <w:rFonts w:ascii="Futura Lt BT" w:eastAsia="Calibri" w:hAnsi="Futura Lt BT" w:cs="Courier New"/>
          <w:sz w:val="24"/>
          <w:szCs w:val="24"/>
          <w:lang w:val="es-MX"/>
        </w:rPr>
        <w:t xml:space="preserve">de capital </w:t>
      </w:r>
      <w:r w:rsidR="00A97F1E">
        <w:rPr>
          <w:rFonts w:ascii="Futura Lt BT" w:eastAsia="Calibri" w:hAnsi="Futura Lt BT" w:cs="Courier New"/>
          <w:sz w:val="24"/>
          <w:szCs w:val="24"/>
          <w:lang w:val="es-MX"/>
        </w:rPr>
        <w:t>(US$31.2 millones acumulados)</w:t>
      </w:r>
      <w:r w:rsidR="00864F61">
        <w:rPr>
          <w:rFonts w:ascii="Futura Lt BT" w:eastAsia="Calibri" w:hAnsi="Futura Lt BT" w:cs="Courier New"/>
          <w:sz w:val="24"/>
          <w:szCs w:val="24"/>
          <w:lang w:val="es-MX"/>
        </w:rPr>
        <w:t xml:space="preserve"> </w:t>
      </w:r>
      <w:r w:rsidR="00A97F1E">
        <w:rPr>
          <w:rFonts w:ascii="Futura Lt BT" w:eastAsia="Calibri" w:hAnsi="Futura Lt BT" w:cs="Courier New"/>
          <w:sz w:val="24"/>
          <w:szCs w:val="24"/>
          <w:lang w:val="es-MX"/>
        </w:rPr>
        <w:t>provenientes en su mayoría de</w:t>
      </w:r>
      <w:r w:rsidR="00A97F1E" w:rsidRPr="00043DF9">
        <w:rPr>
          <w:rFonts w:ascii="Futura Lt BT" w:eastAsia="Calibri" w:hAnsi="Futura Lt BT" w:cs="Courier New"/>
          <w:sz w:val="24"/>
          <w:szCs w:val="24"/>
          <w:lang w:val="es-MX"/>
        </w:rPr>
        <w:t xml:space="preserve"> donaciones al Gobierno </w:t>
      </w:r>
      <w:r w:rsidR="00A97F1E">
        <w:rPr>
          <w:rFonts w:ascii="Futura Lt BT" w:eastAsia="Calibri" w:hAnsi="Futura Lt BT" w:cs="Courier New"/>
          <w:sz w:val="24"/>
          <w:szCs w:val="24"/>
          <w:lang w:val="es-MX"/>
        </w:rPr>
        <w:t xml:space="preserve">Central; y </w:t>
      </w:r>
      <w:r w:rsidR="005F0EA0">
        <w:rPr>
          <w:rFonts w:ascii="Futura Lt BT" w:eastAsia="Calibri" w:hAnsi="Futura Lt BT" w:cs="Courier New"/>
          <w:sz w:val="24"/>
          <w:szCs w:val="24"/>
          <w:lang w:val="es-MX"/>
        </w:rPr>
        <w:lastRenderedPageBreak/>
        <w:t xml:space="preserve">en </w:t>
      </w:r>
      <w:r w:rsidR="00A97F1E">
        <w:rPr>
          <w:rFonts w:ascii="Futura Lt BT" w:eastAsia="Calibri" w:hAnsi="Futura Lt BT" w:cs="Courier New"/>
          <w:sz w:val="24"/>
          <w:szCs w:val="24"/>
          <w:lang w:val="es-MX"/>
        </w:rPr>
        <w:t xml:space="preserve">la cuenta </w:t>
      </w:r>
      <w:r w:rsidR="00CD6C47" w:rsidRPr="00043DF9">
        <w:rPr>
          <w:rFonts w:ascii="Futura Lt BT" w:eastAsia="Calibri" w:hAnsi="Futura Lt BT" w:cs="Courier New"/>
          <w:sz w:val="24"/>
          <w:szCs w:val="24"/>
          <w:lang w:val="es-MX"/>
        </w:rPr>
        <w:t>financiera</w:t>
      </w:r>
      <w:r w:rsidR="005F0EA0">
        <w:rPr>
          <w:rFonts w:ascii="Futura Lt BT" w:eastAsia="Calibri" w:hAnsi="Futura Lt BT" w:cs="Courier New"/>
          <w:sz w:val="24"/>
          <w:szCs w:val="24"/>
          <w:lang w:val="es-MX"/>
        </w:rPr>
        <w:t>,</w:t>
      </w:r>
      <w:r w:rsidR="00CD6C47" w:rsidRPr="00043DF9">
        <w:rPr>
          <w:rFonts w:ascii="Futura Lt BT" w:eastAsia="Calibri" w:hAnsi="Futura Lt BT" w:cs="Courier New"/>
          <w:sz w:val="24"/>
          <w:szCs w:val="24"/>
          <w:lang w:val="es-MX"/>
        </w:rPr>
        <w:t xml:space="preserve"> </w:t>
      </w:r>
      <w:r w:rsidRPr="00043DF9">
        <w:rPr>
          <w:rFonts w:ascii="Futura Lt BT" w:eastAsia="Calibri" w:hAnsi="Futura Lt BT" w:cs="Courier New"/>
          <w:sz w:val="24"/>
          <w:szCs w:val="24"/>
          <w:lang w:val="es-MX"/>
        </w:rPr>
        <w:t xml:space="preserve">flujos </w:t>
      </w:r>
      <w:r w:rsidR="009E1813" w:rsidRPr="00043DF9">
        <w:rPr>
          <w:rFonts w:ascii="Futura Lt BT" w:eastAsia="Calibri" w:hAnsi="Futura Lt BT" w:cs="Courier New"/>
          <w:sz w:val="24"/>
          <w:szCs w:val="24"/>
          <w:lang w:val="es-MX"/>
        </w:rPr>
        <w:t xml:space="preserve">de </w:t>
      </w:r>
      <w:r w:rsidR="00ED3769" w:rsidRPr="00043DF9">
        <w:rPr>
          <w:rFonts w:ascii="Futura Lt BT" w:eastAsia="Calibri" w:hAnsi="Futura Lt BT" w:cs="Courier New"/>
          <w:sz w:val="24"/>
          <w:szCs w:val="24"/>
          <w:lang w:val="es-MX"/>
        </w:rPr>
        <w:t>endeudamiento</w:t>
      </w:r>
      <w:r w:rsidR="009E1813" w:rsidRPr="00043DF9">
        <w:rPr>
          <w:rFonts w:ascii="Futura Lt BT" w:eastAsia="Calibri" w:hAnsi="Futura Lt BT" w:cs="Courier New"/>
          <w:sz w:val="24"/>
          <w:szCs w:val="24"/>
          <w:lang w:val="es-MX"/>
        </w:rPr>
        <w:t xml:space="preserve"> neto de </w:t>
      </w:r>
      <w:r w:rsidR="006F25A1">
        <w:rPr>
          <w:rFonts w:ascii="Futura Lt BT" w:eastAsia="Calibri" w:hAnsi="Futura Lt BT" w:cs="Courier New"/>
          <w:sz w:val="24"/>
          <w:szCs w:val="24"/>
          <w:lang w:val="es-MX"/>
        </w:rPr>
        <w:t>83.9</w:t>
      </w:r>
      <w:r w:rsidRPr="00043DF9">
        <w:rPr>
          <w:rFonts w:ascii="Futura Lt BT" w:eastAsia="Calibri" w:hAnsi="Futura Lt BT" w:cs="Courier New"/>
          <w:sz w:val="24"/>
          <w:szCs w:val="24"/>
          <w:lang w:val="es-MX"/>
        </w:rPr>
        <w:t xml:space="preserve"> millones de dólares</w:t>
      </w:r>
      <w:r w:rsidR="00864F61">
        <w:rPr>
          <w:rFonts w:ascii="Futura Lt BT" w:eastAsia="Calibri" w:hAnsi="Futura Lt BT" w:cs="Courier New"/>
          <w:sz w:val="24"/>
          <w:szCs w:val="24"/>
          <w:lang w:val="es-MX"/>
        </w:rPr>
        <w:t xml:space="preserve"> (US$305.0 millones acumulados)</w:t>
      </w:r>
      <w:r w:rsidR="00F34F28" w:rsidRPr="00043DF9">
        <w:rPr>
          <w:rFonts w:ascii="Futura Lt BT" w:eastAsia="Calibri" w:hAnsi="Futura Lt BT" w:cs="Courier New"/>
          <w:sz w:val="24"/>
          <w:szCs w:val="24"/>
          <w:lang w:val="es-MX"/>
        </w:rPr>
        <w:t>.</w:t>
      </w:r>
    </w:p>
    <w:bookmarkEnd w:id="7"/>
    <w:p w:rsidR="00D02B3A" w:rsidRPr="00317203" w:rsidRDefault="00D86268" w:rsidP="00D02B3A">
      <w:pPr>
        <w:pStyle w:val="Estilo2"/>
        <w:numPr>
          <w:ilvl w:val="0"/>
          <w:numId w:val="4"/>
        </w:numPr>
        <w:jc w:val="left"/>
      </w:pPr>
      <w:r>
        <w:t>Principales r</w:t>
      </w:r>
      <w:r w:rsidR="007F352D" w:rsidRPr="00317203">
        <w:t>esultados de la Cuenta Corriente de la Balanza de Pagos</w:t>
      </w:r>
      <w:r w:rsidR="007F352D" w:rsidRPr="00317203">
        <w:rPr>
          <w:rStyle w:val="Refdenotaalpie"/>
        </w:rPr>
        <w:footnoteReference w:id="1"/>
      </w:r>
    </w:p>
    <w:p w:rsidR="00D02B3A" w:rsidRPr="00317203" w:rsidRDefault="00D02B3A" w:rsidP="00D02B3A">
      <w:pPr>
        <w:spacing w:after="0" w:line="240" w:lineRule="auto"/>
        <w:jc w:val="both"/>
        <w:rPr>
          <w:rFonts w:ascii="Futura Lt BT" w:hAnsi="Futura Lt BT"/>
          <w:sz w:val="24"/>
          <w:szCs w:val="24"/>
        </w:rPr>
      </w:pPr>
    </w:p>
    <w:p w:rsidR="00933AC3" w:rsidRPr="00933AC3" w:rsidRDefault="00D86268" w:rsidP="00933AC3">
      <w:pPr>
        <w:spacing w:line="276" w:lineRule="auto"/>
        <w:jc w:val="both"/>
        <w:rPr>
          <w:rFonts w:ascii="Futura Lt BT" w:eastAsia="Calibri" w:hAnsi="Futura Lt BT" w:cs="Courier New"/>
          <w:sz w:val="24"/>
          <w:szCs w:val="24"/>
          <w:lang w:val="es-MX"/>
        </w:rPr>
      </w:pPr>
      <w:r w:rsidRPr="00933AC3">
        <w:rPr>
          <w:rFonts w:ascii="Futura Lt BT" w:eastAsia="Calibri" w:hAnsi="Futura Lt BT" w:cs="Courier New"/>
          <w:sz w:val="24"/>
          <w:szCs w:val="24"/>
          <w:lang w:val="es-MX"/>
        </w:rPr>
        <w:t xml:space="preserve">En el </w:t>
      </w:r>
      <w:r w:rsidR="00877211" w:rsidRPr="00933AC3">
        <w:rPr>
          <w:rFonts w:ascii="Futura Lt BT" w:eastAsia="Calibri" w:hAnsi="Futura Lt BT" w:cs="Courier New"/>
          <w:sz w:val="24"/>
          <w:szCs w:val="24"/>
          <w:lang w:val="es-MX"/>
        </w:rPr>
        <w:t>segundo</w:t>
      </w:r>
      <w:r w:rsidRPr="00933AC3">
        <w:rPr>
          <w:rFonts w:ascii="Futura Lt BT" w:eastAsia="Calibri" w:hAnsi="Futura Lt BT" w:cs="Courier New"/>
          <w:sz w:val="24"/>
          <w:szCs w:val="24"/>
          <w:lang w:val="es-MX"/>
        </w:rPr>
        <w:t xml:space="preserve"> trimestre de 202</w:t>
      </w:r>
      <w:r w:rsidR="009D67E9" w:rsidRPr="00933AC3">
        <w:rPr>
          <w:rFonts w:ascii="Futura Lt BT" w:eastAsia="Calibri" w:hAnsi="Futura Lt BT" w:cs="Courier New"/>
          <w:sz w:val="24"/>
          <w:szCs w:val="24"/>
          <w:lang w:val="es-MX"/>
        </w:rPr>
        <w:t>4</w:t>
      </w:r>
      <w:r w:rsidRPr="00933AC3">
        <w:rPr>
          <w:rFonts w:ascii="Futura Lt BT" w:eastAsia="Calibri" w:hAnsi="Futura Lt BT" w:cs="Courier New"/>
          <w:sz w:val="24"/>
          <w:szCs w:val="24"/>
          <w:lang w:val="es-MX"/>
        </w:rPr>
        <w:t>, las exportaciones de bienes fueron de 1,</w:t>
      </w:r>
      <w:r w:rsidR="00877211" w:rsidRPr="00933AC3">
        <w:rPr>
          <w:rFonts w:ascii="Futura Lt BT" w:eastAsia="Calibri" w:hAnsi="Futura Lt BT" w:cs="Courier New"/>
          <w:sz w:val="24"/>
          <w:szCs w:val="24"/>
          <w:lang w:val="es-MX"/>
        </w:rPr>
        <w:t>805</w:t>
      </w:r>
      <w:r w:rsidRPr="00933AC3">
        <w:rPr>
          <w:rFonts w:ascii="Futura Lt BT" w:eastAsia="Calibri" w:hAnsi="Futura Lt BT" w:cs="Courier New"/>
          <w:sz w:val="24"/>
          <w:szCs w:val="24"/>
          <w:lang w:val="es-MX"/>
        </w:rPr>
        <w:t>.</w:t>
      </w:r>
      <w:r w:rsidR="00877211" w:rsidRPr="00933AC3">
        <w:rPr>
          <w:rFonts w:ascii="Futura Lt BT" w:eastAsia="Calibri" w:hAnsi="Futura Lt BT" w:cs="Courier New"/>
          <w:sz w:val="24"/>
          <w:szCs w:val="24"/>
          <w:lang w:val="es-MX"/>
        </w:rPr>
        <w:t>9</w:t>
      </w:r>
      <w:r w:rsidRPr="00933AC3">
        <w:rPr>
          <w:rFonts w:ascii="Futura Lt BT" w:eastAsia="Calibri" w:hAnsi="Futura Lt BT" w:cs="Courier New"/>
          <w:sz w:val="24"/>
          <w:szCs w:val="24"/>
          <w:lang w:val="es-MX"/>
        </w:rPr>
        <w:t xml:space="preserve"> millones de dólares, registrando un </w:t>
      </w:r>
      <w:r w:rsidR="00877211" w:rsidRPr="00933AC3">
        <w:rPr>
          <w:rFonts w:ascii="Futura Lt BT" w:eastAsia="Calibri" w:hAnsi="Futura Lt BT" w:cs="Courier New"/>
          <w:sz w:val="24"/>
          <w:szCs w:val="24"/>
          <w:lang w:val="es-MX"/>
        </w:rPr>
        <w:t>incremento</w:t>
      </w:r>
      <w:r w:rsidRPr="00933AC3">
        <w:rPr>
          <w:rFonts w:ascii="Futura Lt BT" w:eastAsia="Calibri" w:hAnsi="Futura Lt BT" w:cs="Courier New"/>
          <w:sz w:val="24"/>
          <w:szCs w:val="24"/>
          <w:lang w:val="es-MX"/>
        </w:rPr>
        <w:t xml:space="preserve"> interanual de </w:t>
      </w:r>
      <w:r w:rsidR="00877211" w:rsidRPr="00933AC3">
        <w:rPr>
          <w:rFonts w:ascii="Futura Lt BT" w:eastAsia="Calibri" w:hAnsi="Futura Lt BT" w:cs="Courier New"/>
          <w:sz w:val="24"/>
          <w:szCs w:val="24"/>
          <w:lang w:val="es-MX"/>
        </w:rPr>
        <w:t>2</w:t>
      </w:r>
      <w:r w:rsidRPr="00933AC3">
        <w:rPr>
          <w:rFonts w:ascii="Futura Lt BT" w:eastAsia="Calibri" w:hAnsi="Futura Lt BT" w:cs="Courier New"/>
          <w:sz w:val="24"/>
          <w:szCs w:val="24"/>
          <w:lang w:val="es-MX"/>
        </w:rPr>
        <w:t>.</w:t>
      </w:r>
      <w:r w:rsidR="00877211" w:rsidRPr="00933AC3">
        <w:rPr>
          <w:rFonts w:ascii="Futura Lt BT" w:eastAsia="Calibri" w:hAnsi="Futura Lt BT" w:cs="Courier New"/>
          <w:sz w:val="24"/>
          <w:szCs w:val="24"/>
          <w:lang w:val="es-MX"/>
        </w:rPr>
        <w:t>3</w:t>
      </w:r>
      <w:r w:rsidRPr="00933AC3">
        <w:rPr>
          <w:rFonts w:ascii="Futura Lt BT" w:eastAsia="Calibri" w:hAnsi="Futura Lt BT" w:cs="Courier New"/>
          <w:sz w:val="24"/>
          <w:szCs w:val="24"/>
          <w:lang w:val="es-MX"/>
        </w:rPr>
        <w:t xml:space="preserve"> por ciento (US$1,</w:t>
      </w:r>
      <w:r w:rsidR="009D67E9" w:rsidRPr="00933AC3">
        <w:rPr>
          <w:rFonts w:ascii="Futura Lt BT" w:eastAsia="Calibri" w:hAnsi="Futura Lt BT" w:cs="Courier New"/>
          <w:sz w:val="24"/>
          <w:szCs w:val="24"/>
          <w:lang w:val="es-MX"/>
        </w:rPr>
        <w:t>7</w:t>
      </w:r>
      <w:r w:rsidR="00877211" w:rsidRPr="00933AC3">
        <w:rPr>
          <w:rFonts w:ascii="Futura Lt BT" w:eastAsia="Calibri" w:hAnsi="Futura Lt BT" w:cs="Courier New"/>
          <w:sz w:val="24"/>
          <w:szCs w:val="24"/>
          <w:lang w:val="es-MX"/>
        </w:rPr>
        <w:t>64</w:t>
      </w:r>
      <w:r w:rsidRPr="00933AC3">
        <w:rPr>
          <w:rFonts w:ascii="Futura Lt BT" w:eastAsia="Calibri" w:hAnsi="Futura Lt BT" w:cs="Courier New"/>
          <w:sz w:val="24"/>
          <w:szCs w:val="24"/>
          <w:lang w:val="es-MX"/>
        </w:rPr>
        <w:t>.</w:t>
      </w:r>
      <w:r w:rsidR="00877211" w:rsidRPr="00933AC3">
        <w:rPr>
          <w:rFonts w:ascii="Futura Lt BT" w:eastAsia="Calibri" w:hAnsi="Futura Lt BT" w:cs="Courier New"/>
          <w:sz w:val="24"/>
          <w:szCs w:val="24"/>
          <w:lang w:val="es-MX"/>
        </w:rPr>
        <w:t>7</w:t>
      </w:r>
      <w:r w:rsidRPr="00933AC3">
        <w:rPr>
          <w:rFonts w:ascii="Futura Lt BT" w:eastAsia="Calibri" w:hAnsi="Futura Lt BT" w:cs="Courier New"/>
          <w:sz w:val="24"/>
          <w:szCs w:val="24"/>
          <w:lang w:val="es-MX"/>
        </w:rPr>
        <w:t xml:space="preserve"> millones en</w:t>
      </w:r>
      <w:r w:rsidR="00CE7A85" w:rsidRPr="00933AC3">
        <w:rPr>
          <w:rFonts w:ascii="Futura Lt BT" w:eastAsia="Calibri" w:hAnsi="Futura Lt BT" w:cs="Courier New"/>
          <w:sz w:val="24"/>
          <w:szCs w:val="24"/>
          <w:lang w:val="es-MX"/>
        </w:rPr>
        <w:t xml:space="preserve"> el</w:t>
      </w:r>
      <w:r w:rsidRPr="00933AC3">
        <w:rPr>
          <w:rFonts w:ascii="Futura Lt BT" w:eastAsia="Calibri" w:hAnsi="Futura Lt BT" w:cs="Courier New"/>
          <w:sz w:val="24"/>
          <w:szCs w:val="24"/>
          <w:lang w:val="es-MX"/>
        </w:rPr>
        <w:t xml:space="preserve"> </w:t>
      </w:r>
      <w:r w:rsidR="00877211" w:rsidRPr="00933AC3">
        <w:rPr>
          <w:rFonts w:ascii="Futura Lt BT" w:eastAsia="Calibri" w:hAnsi="Futura Lt BT" w:cs="Courier New"/>
          <w:sz w:val="24"/>
          <w:szCs w:val="24"/>
          <w:lang w:val="es-MX"/>
        </w:rPr>
        <w:t>I</w:t>
      </w:r>
      <w:r w:rsidRPr="00933AC3">
        <w:rPr>
          <w:rFonts w:ascii="Futura Lt BT" w:eastAsia="Calibri" w:hAnsi="Futura Lt BT" w:cs="Courier New"/>
          <w:sz w:val="24"/>
          <w:szCs w:val="24"/>
          <w:lang w:val="es-MX"/>
        </w:rPr>
        <w:t>I trimestre 202</w:t>
      </w:r>
      <w:r w:rsidR="009D67E9" w:rsidRPr="00933AC3">
        <w:rPr>
          <w:rFonts w:ascii="Futura Lt BT" w:eastAsia="Calibri" w:hAnsi="Futura Lt BT" w:cs="Courier New"/>
          <w:sz w:val="24"/>
          <w:szCs w:val="24"/>
          <w:lang w:val="es-MX"/>
        </w:rPr>
        <w:t>3</w:t>
      </w:r>
      <w:r w:rsidRPr="00933AC3">
        <w:rPr>
          <w:rFonts w:ascii="Futura Lt BT" w:eastAsia="Calibri" w:hAnsi="Futura Lt BT" w:cs="Courier New"/>
          <w:sz w:val="24"/>
          <w:szCs w:val="24"/>
          <w:lang w:val="es-MX"/>
        </w:rPr>
        <w:t xml:space="preserve">), </w:t>
      </w:r>
      <w:r w:rsidR="00103C2D" w:rsidRPr="00933AC3">
        <w:rPr>
          <w:rFonts w:ascii="Futura Lt BT" w:eastAsia="Calibri" w:hAnsi="Futura Lt BT" w:cs="Courier New"/>
          <w:sz w:val="24"/>
          <w:szCs w:val="24"/>
          <w:lang w:val="es-MX"/>
        </w:rPr>
        <w:t>debido a</w:t>
      </w:r>
      <w:r w:rsidR="00877211" w:rsidRPr="00933AC3">
        <w:rPr>
          <w:rFonts w:ascii="Futura Lt BT" w:eastAsia="Calibri" w:hAnsi="Futura Lt BT" w:cs="Courier New"/>
          <w:sz w:val="24"/>
          <w:szCs w:val="24"/>
          <w:lang w:val="es-MX"/>
        </w:rPr>
        <w:t>l</w:t>
      </w:r>
      <w:r w:rsidR="00103C2D" w:rsidRPr="00933AC3">
        <w:rPr>
          <w:rFonts w:ascii="Futura Lt BT" w:eastAsia="Calibri" w:hAnsi="Futura Lt BT" w:cs="Courier New"/>
          <w:sz w:val="24"/>
          <w:szCs w:val="24"/>
          <w:lang w:val="es-MX"/>
        </w:rPr>
        <w:t xml:space="preserve"> </w:t>
      </w:r>
      <w:r w:rsidR="00877211" w:rsidRPr="00933AC3">
        <w:rPr>
          <w:rFonts w:ascii="Futura Lt BT" w:eastAsia="Calibri" w:hAnsi="Futura Lt BT" w:cs="Courier New"/>
          <w:sz w:val="24"/>
          <w:szCs w:val="24"/>
          <w:lang w:val="es-MX"/>
        </w:rPr>
        <w:t>aumento</w:t>
      </w:r>
      <w:r w:rsidRPr="00933AC3">
        <w:rPr>
          <w:rFonts w:ascii="Futura Lt BT" w:eastAsia="Calibri" w:hAnsi="Futura Lt BT" w:cs="Courier New"/>
          <w:sz w:val="24"/>
          <w:szCs w:val="24"/>
          <w:lang w:val="es-MX"/>
        </w:rPr>
        <w:t xml:space="preserve"> de las exportaciones de</w:t>
      </w:r>
      <w:r w:rsidR="00BB1C22" w:rsidRPr="00933AC3">
        <w:rPr>
          <w:rFonts w:ascii="Futura Lt BT" w:eastAsia="Calibri" w:hAnsi="Futura Lt BT" w:cs="Courier New"/>
          <w:sz w:val="24"/>
          <w:szCs w:val="24"/>
          <w:lang w:val="es-MX"/>
        </w:rPr>
        <w:t xml:space="preserve"> los sectores</w:t>
      </w:r>
      <w:r w:rsidRPr="00933AC3">
        <w:rPr>
          <w:rFonts w:ascii="Futura Lt BT" w:eastAsia="Calibri" w:hAnsi="Futura Lt BT" w:cs="Courier New"/>
          <w:sz w:val="24"/>
          <w:szCs w:val="24"/>
          <w:lang w:val="es-MX"/>
        </w:rPr>
        <w:t xml:space="preserve"> </w:t>
      </w:r>
      <w:r w:rsidR="00877211" w:rsidRPr="00933AC3">
        <w:rPr>
          <w:rFonts w:ascii="Futura Lt BT" w:eastAsia="Calibri" w:hAnsi="Futura Lt BT" w:cs="Courier New"/>
          <w:sz w:val="24"/>
          <w:szCs w:val="24"/>
          <w:lang w:val="es-MX"/>
        </w:rPr>
        <w:t>minería</w:t>
      </w:r>
      <w:r w:rsidRPr="00933AC3">
        <w:rPr>
          <w:rFonts w:ascii="Futura Lt BT" w:eastAsia="Calibri" w:hAnsi="Futura Lt BT" w:cs="Courier New"/>
          <w:sz w:val="24"/>
          <w:szCs w:val="24"/>
          <w:lang w:val="es-MX"/>
        </w:rPr>
        <w:t xml:space="preserve"> (</w:t>
      </w:r>
      <w:r w:rsidR="009D67E9" w:rsidRPr="00933AC3">
        <w:rPr>
          <w:rFonts w:ascii="Futura Lt BT" w:eastAsia="Calibri" w:hAnsi="Futura Lt BT" w:cs="Courier New"/>
          <w:sz w:val="24"/>
          <w:szCs w:val="24"/>
          <w:lang w:val="es-MX"/>
        </w:rPr>
        <w:t>2</w:t>
      </w:r>
      <w:r w:rsidR="00360A1B" w:rsidRPr="00933AC3">
        <w:rPr>
          <w:rFonts w:ascii="Futura Lt BT" w:eastAsia="Calibri" w:hAnsi="Futura Lt BT" w:cs="Courier New"/>
          <w:sz w:val="24"/>
          <w:szCs w:val="24"/>
          <w:lang w:val="es-MX"/>
        </w:rPr>
        <w:t>9</w:t>
      </w:r>
      <w:r w:rsidR="009D67E9" w:rsidRPr="00933AC3">
        <w:rPr>
          <w:rFonts w:ascii="Futura Lt BT" w:eastAsia="Calibri" w:hAnsi="Futura Lt BT" w:cs="Courier New"/>
          <w:sz w:val="24"/>
          <w:szCs w:val="24"/>
          <w:lang w:val="es-MX"/>
        </w:rPr>
        <w:t>.</w:t>
      </w:r>
      <w:r w:rsidR="00360A1B" w:rsidRPr="00933AC3">
        <w:rPr>
          <w:rFonts w:ascii="Futura Lt BT" w:eastAsia="Calibri" w:hAnsi="Futura Lt BT" w:cs="Courier New"/>
          <w:sz w:val="24"/>
          <w:szCs w:val="24"/>
          <w:lang w:val="es-MX"/>
        </w:rPr>
        <w:t>8</w:t>
      </w:r>
      <w:r w:rsidRPr="00933AC3">
        <w:rPr>
          <w:rFonts w:ascii="Futura Lt BT" w:eastAsia="Calibri" w:hAnsi="Futura Lt BT" w:cs="Courier New"/>
          <w:sz w:val="24"/>
          <w:szCs w:val="24"/>
          <w:lang w:val="es-MX"/>
        </w:rPr>
        <w:t>%)</w:t>
      </w:r>
      <w:r w:rsidR="009D67E9" w:rsidRPr="00933AC3">
        <w:rPr>
          <w:rFonts w:ascii="Futura Lt BT" w:eastAsia="Calibri" w:hAnsi="Futura Lt BT" w:cs="Courier New"/>
          <w:sz w:val="24"/>
          <w:szCs w:val="24"/>
          <w:lang w:val="es-MX"/>
        </w:rPr>
        <w:t>,</w:t>
      </w:r>
      <w:r w:rsidR="00F936E7" w:rsidRPr="00933AC3">
        <w:rPr>
          <w:rFonts w:ascii="Futura Lt BT" w:eastAsia="Calibri" w:hAnsi="Futura Lt BT" w:cs="Courier New"/>
          <w:sz w:val="24"/>
          <w:szCs w:val="24"/>
          <w:lang w:val="es-MX"/>
        </w:rPr>
        <w:t xml:space="preserve"> </w:t>
      </w:r>
      <w:r w:rsidR="009D67E9" w:rsidRPr="00933AC3">
        <w:rPr>
          <w:rFonts w:ascii="Futura Lt BT" w:eastAsia="Calibri" w:hAnsi="Futura Lt BT" w:cs="Courier New"/>
          <w:sz w:val="24"/>
          <w:szCs w:val="24"/>
          <w:lang w:val="es-MX"/>
        </w:rPr>
        <w:t>pesca</w:t>
      </w:r>
      <w:r w:rsidR="00F936E7" w:rsidRPr="00933AC3">
        <w:rPr>
          <w:rFonts w:ascii="Futura Lt BT" w:eastAsia="Calibri" w:hAnsi="Futura Lt BT" w:cs="Courier New"/>
          <w:sz w:val="24"/>
          <w:szCs w:val="24"/>
          <w:lang w:val="es-MX"/>
        </w:rPr>
        <w:t xml:space="preserve"> (</w:t>
      </w:r>
      <w:r w:rsidR="00360A1B" w:rsidRPr="00933AC3">
        <w:rPr>
          <w:rFonts w:ascii="Futura Lt BT" w:eastAsia="Calibri" w:hAnsi="Futura Lt BT" w:cs="Courier New"/>
          <w:sz w:val="24"/>
          <w:szCs w:val="24"/>
          <w:lang w:val="es-MX"/>
        </w:rPr>
        <w:t>9</w:t>
      </w:r>
      <w:r w:rsidR="00F936E7" w:rsidRPr="00933AC3">
        <w:rPr>
          <w:rFonts w:ascii="Futura Lt BT" w:eastAsia="Calibri" w:hAnsi="Futura Lt BT" w:cs="Courier New"/>
          <w:sz w:val="24"/>
          <w:szCs w:val="24"/>
          <w:lang w:val="es-MX"/>
        </w:rPr>
        <w:t>.</w:t>
      </w:r>
      <w:r w:rsidR="00360A1B" w:rsidRPr="00933AC3">
        <w:rPr>
          <w:rFonts w:ascii="Futura Lt BT" w:eastAsia="Calibri" w:hAnsi="Futura Lt BT" w:cs="Courier New"/>
          <w:sz w:val="24"/>
          <w:szCs w:val="24"/>
          <w:lang w:val="es-MX"/>
        </w:rPr>
        <w:t>0</w:t>
      </w:r>
      <w:r w:rsidR="00F936E7" w:rsidRPr="00933AC3">
        <w:rPr>
          <w:rFonts w:ascii="Futura Lt BT" w:eastAsia="Calibri" w:hAnsi="Futura Lt BT" w:cs="Courier New"/>
          <w:sz w:val="24"/>
          <w:szCs w:val="24"/>
          <w:lang w:val="es-MX"/>
        </w:rPr>
        <w:t>%)</w:t>
      </w:r>
      <w:r w:rsidR="009D67E9" w:rsidRPr="00933AC3">
        <w:rPr>
          <w:rFonts w:ascii="Futura Lt BT" w:eastAsia="Calibri" w:hAnsi="Futura Lt BT" w:cs="Courier New"/>
          <w:sz w:val="24"/>
          <w:szCs w:val="24"/>
          <w:lang w:val="es-MX"/>
        </w:rPr>
        <w:t xml:space="preserve"> y manufactura (6</w:t>
      </w:r>
      <w:r w:rsidR="00360A1B" w:rsidRPr="00933AC3">
        <w:rPr>
          <w:rFonts w:ascii="Futura Lt BT" w:eastAsia="Calibri" w:hAnsi="Futura Lt BT" w:cs="Courier New"/>
          <w:sz w:val="24"/>
          <w:szCs w:val="24"/>
          <w:lang w:val="es-MX"/>
        </w:rPr>
        <w:t>.8</w:t>
      </w:r>
      <w:r w:rsidR="009D67E9" w:rsidRPr="00933AC3">
        <w:rPr>
          <w:rFonts w:ascii="Futura Lt BT" w:eastAsia="Calibri" w:hAnsi="Futura Lt BT" w:cs="Courier New"/>
          <w:sz w:val="24"/>
          <w:szCs w:val="24"/>
          <w:lang w:val="es-MX"/>
        </w:rPr>
        <w:t>%)</w:t>
      </w:r>
      <w:r w:rsidR="00103C2D" w:rsidRPr="00933AC3">
        <w:rPr>
          <w:rFonts w:ascii="Futura Lt BT" w:eastAsia="Calibri" w:hAnsi="Futura Lt BT" w:cs="Courier New"/>
          <w:sz w:val="24"/>
          <w:szCs w:val="24"/>
          <w:lang w:val="es-MX"/>
        </w:rPr>
        <w:t>, las cuales superaron l</w:t>
      </w:r>
      <w:r w:rsidR="00360A1B" w:rsidRPr="00933AC3">
        <w:rPr>
          <w:rFonts w:ascii="Futura Lt BT" w:eastAsia="Calibri" w:hAnsi="Futura Lt BT" w:cs="Courier New"/>
          <w:sz w:val="24"/>
          <w:szCs w:val="24"/>
          <w:lang w:val="es-MX"/>
        </w:rPr>
        <w:t>a</w:t>
      </w:r>
      <w:r w:rsidR="00103C2D" w:rsidRPr="00933AC3">
        <w:rPr>
          <w:rFonts w:ascii="Futura Lt BT" w:eastAsia="Calibri" w:hAnsi="Futura Lt BT" w:cs="Courier New"/>
          <w:sz w:val="24"/>
          <w:szCs w:val="24"/>
          <w:lang w:val="es-MX"/>
        </w:rPr>
        <w:t xml:space="preserve"> </w:t>
      </w:r>
      <w:r w:rsidR="00360A1B" w:rsidRPr="00933AC3">
        <w:rPr>
          <w:rFonts w:ascii="Futura Lt BT" w:eastAsia="Calibri" w:hAnsi="Futura Lt BT" w:cs="Courier New"/>
          <w:sz w:val="24"/>
          <w:szCs w:val="24"/>
          <w:lang w:val="es-MX"/>
        </w:rPr>
        <w:t>disminución</w:t>
      </w:r>
      <w:r w:rsidR="00103C2D" w:rsidRPr="00933AC3">
        <w:rPr>
          <w:rFonts w:ascii="Futura Lt BT" w:eastAsia="Calibri" w:hAnsi="Futura Lt BT" w:cs="Courier New"/>
          <w:sz w:val="24"/>
          <w:szCs w:val="24"/>
          <w:lang w:val="es-MX"/>
        </w:rPr>
        <w:t xml:space="preserve"> de las exportaciones del </w:t>
      </w:r>
      <w:r w:rsidRPr="00933AC3">
        <w:rPr>
          <w:rFonts w:ascii="Futura Lt BT" w:eastAsia="Calibri" w:hAnsi="Futura Lt BT" w:cs="Courier New"/>
          <w:sz w:val="24"/>
          <w:szCs w:val="24"/>
          <w:lang w:val="es-MX"/>
        </w:rPr>
        <w:t xml:space="preserve">sector </w:t>
      </w:r>
      <w:r w:rsidR="00360A1B" w:rsidRPr="00933AC3">
        <w:rPr>
          <w:rFonts w:ascii="Futura Lt BT" w:eastAsia="Calibri" w:hAnsi="Futura Lt BT" w:cs="Courier New"/>
          <w:sz w:val="24"/>
          <w:szCs w:val="24"/>
          <w:lang w:val="es-MX"/>
        </w:rPr>
        <w:t>agropecuario</w:t>
      </w:r>
      <w:r w:rsidRPr="00933AC3">
        <w:rPr>
          <w:rFonts w:ascii="Futura Lt BT" w:eastAsia="Calibri" w:hAnsi="Futura Lt BT" w:cs="Courier New"/>
          <w:sz w:val="24"/>
          <w:szCs w:val="24"/>
          <w:lang w:val="es-MX"/>
        </w:rPr>
        <w:t xml:space="preserve"> (</w:t>
      </w:r>
      <w:r w:rsidR="00360A1B" w:rsidRPr="00933AC3">
        <w:rPr>
          <w:rFonts w:ascii="Futura Lt BT" w:eastAsia="Calibri" w:hAnsi="Futura Lt BT" w:cs="Courier New"/>
          <w:sz w:val="24"/>
          <w:szCs w:val="24"/>
          <w:lang w:val="es-MX"/>
        </w:rPr>
        <w:t>-</w:t>
      </w:r>
      <w:r w:rsidRPr="00933AC3">
        <w:rPr>
          <w:rFonts w:ascii="Futura Lt BT" w:eastAsia="Calibri" w:hAnsi="Futura Lt BT" w:cs="Courier New"/>
          <w:sz w:val="24"/>
          <w:szCs w:val="24"/>
          <w:lang w:val="es-MX"/>
        </w:rPr>
        <w:t>1</w:t>
      </w:r>
      <w:r w:rsidR="00360A1B" w:rsidRPr="00933AC3">
        <w:rPr>
          <w:rFonts w:ascii="Futura Lt BT" w:eastAsia="Calibri" w:hAnsi="Futura Lt BT" w:cs="Courier New"/>
          <w:sz w:val="24"/>
          <w:szCs w:val="24"/>
          <w:lang w:val="es-MX"/>
        </w:rPr>
        <w:t>6</w:t>
      </w:r>
      <w:r w:rsidRPr="00933AC3">
        <w:rPr>
          <w:rFonts w:ascii="Futura Lt BT" w:eastAsia="Calibri" w:hAnsi="Futura Lt BT" w:cs="Courier New"/>
          <w:sz w:val="24"/>
          <w:szCs w:val="24"/>
          <w:lang w:val="es-MX"/>
        </w:rPr>
        <w:t>.</w:t>
      </w:r>
      <w:r w:rsidR="00360A1B" w:rsidRPr="00933AC3">
        <w:rPr>
          <w:rFonts w:ascii="Futura Lt BT" w:eastAsia="Calibri" w:hAnsi="Futura Lt BT" w:cs="Courier New"/>
          <w:sz w:val="24"/>
          <w:szCs w:val="24"/>
          <w:lang w:val="es-MX"/>
        </w:rPr>
        <w:t>1</w:t>
      </w:r>
      <w:r w:rsidRPr="00933AC3">
        <w:rPr>
          <w:rFonts w:ascii="Futura Lt BT" w:eastAsia="Calibri" w:hAnsi="Futura Lt BT" w:cs="Courier New"/>
          <w:sz w:val="24"/>
          <w:szCs w:val="24"/>
          <w:lang w:val="es-MX"/>
        </w:rPr>
        <w:t>%). Por su parte, las exportaciones de servicios (US$</w:t>
      </w:r>
      <w:r w:rsidR="00DE3DBE" w:rsidRPr="00933AC3">
        <w:rPr>
          <w:rFonts w:ascii="Futura Lt BT" w:eastAsia="Calibri" w:hAnsi="Futura Lt BT" w:cs="Courier New"/>
          <w:sz w:val="24"/>
          <w:szCs w:val="24"/>
          <w:lang w:val="es-MX"/>
        </w:rPr>
        <w:t>3</w:t>
      </w:r>
      <w:r w:rsidR="00360A1B" w:rsidRPr="00933AC3">
        <w:rPr>
          <w:rFonts w:ascii="Futura Lt BT" w:eastAsia="Calibri" w:hAnsi="Futura Lt BT" w:cs="Courier New"/>
          <w:sz w:val="24"/>
          <w:szCs w:val="24"/>
          <w:lang w:val="es-MX"/>
        </w:rPr>
        <w:t>2</w:t>
      </w:r>
      <w:r w:rsidR="00DE3DBE" w:rsidRPr="00933AC3">
        <w:rPr>
          <w:rFonts w:ascii="Futura Lt BT" w:eastAsia="Calibri" w:hAnsi="Futura Lt BT" w:cs="Courier New"/>
          <w:sz w:val="24"/>
          <w:szCs w:val="24"/>
          <w:lang w:val="es-MX"/>
        </w:rPr>
        <w:t>7</w:t>
      </w:r>
      <w:r w:rsidR="00863430" w:rsidRPr="00933AC3">
        <w:rPr>
          <w:rFonts w:ascii="Futura Lt BT" w:eastAsia="Calibri" w:hAnsi="Futura Lt BT" w:cs="Courier New"/>
          <w:sz w:val="24"/>
          <w:szCs w:val="24"/>
          <w:lang w:val="es-MX"/>
        </w:rPr>
        <w:t>.</w:t>
      </w:r>
      <w:r w:rsidR="00360A1B" w:rsidRPr="00933AC3">
        <w:rPr>
          <w:rFonts w:ascii="Futura Lt BT" w:eastAsia="Calibri" w:hAnsi="Futura Lt BT" w:cs="Courier New"/>
          <w:sz w:val="24"/>
          <w:szCs w:val="24"/>
          <w:lang w:val="es-MX"/>
        </w:rPr>
        <w:t>8</w:t>
      </w:r>
      <w:r w:rsidRPr="00933AC3">
        <w:rPr>
          <w:rFonts w:ascii="Futura Lt BT" w:eastAsia="Calibri" w:hAnsi="Futura Lt BT" w:cs="Courier New"/>
          <w:sz w:val="24"/>
          <w:szCs w:val="24"/>
          <w:lang w:val="es-MX"/>
        </w:rPr>
        <w:t xml:space="preserve"> millones) mostraron un</w:t>
      </w:r>
      <w:r w:rsidR="00360A1B" w:rsidRPr="00933AC3">
        <w:rPr>
          <w:rFonts w:ascii="Futura Lt BT" w:eastAsia="Calibri" w:hAnsi="Futura Lt BT" w:cs="Courier New"/>
          <w:sz w:val="24"/>
          <w:szCs w:val="24"/>
          <w:lang w:val="es-MX"/>
        </w:rPr>
        <w:t>a</w:t>
      </w:r>
      <w:r w:rsidR="00863430" w:rsidRPr="00933AC3">
        <w:rPr>
          <w:rFonts w:ascii="Futura Lt BT" w:eastAsia="Calibri" w:hAnsi="Futura Lt BT" w:cs="Courier New"/>
          <w:sz w:val="24"/>
          <w:szCs w:val="24"/>
          <w:lang w:val="es-MX"/>
        </w:rPr>
        <w:t xml:space="preserve"> </w:t>
      </w:r>
      <w:r w:rsidR="00360A1B" w:rsidRPr="00933AC3">
        <w:rPr>
          <w:rFonts w:ascii="Futura Lt BT" w:eastAsia="Calibri" w:hAnsi="Futura Lt BT" w:cs="Courier New"/>
          <w:sz w:val="24"/>
          <w:szCs w:val="24"/>
          <w:lang w:val="es-MX"/>
        </w:rPr>
        <w:t>disminución</w:t>
      </w:r>
      <w:r w:rsidR="00863430" w:rsidRPr="00933AC3">
        <w:rPr>
          <w:rFonts w:ascii="Futura Lt BT" w:eastAsia="Calibri" w:hAnsi="Futura Lt BT" w:cs="Courier New"/>
          <w:sz w:val="24"/>
          <w:szCs w:val="24"/>
          <w:lang w:val="es-MX"/>
        </w:rPr>
        <w:t xml:space="preserve"> </w:t>
      </w:r>
      <w:r w:rsidRPr="00933AC3">
        <w:rPr>
          <w:rFonts w:ascii="Futura Lt BT" w:eastAsia="Calibri" w:hAnsi="Futura Lt BT" w:cs="Courier New"/>
          <w:sz w:val="24"/>
          <w:szCs w:val="24"/>
          <w:lang w:val="es-MX"/>
        </w:rPr>
        <w:t xml:space="preserve">interanual de </w:t>
      </w:r>
      <w:r w:rsidR="00360A1B" w:rsidRPr="00933AC3">
        <w:rPr>
          <w:rFonts w:ascii="Futura Lt BT" w:eastAsia="Calibri" w:hAnsi="Futura Lt BT" w:cs="Courier New"/>
          <w:sz w:val="24"/>
          <w:szCs w:val="24"/>
          <w:lang w:val="es-MX"/>
        </w:rPr>
        <w:t>4</w:t>
      </w:r>
      <w:r w:rsidR="005C3D4B" w:rsidRPr="00933AC3">
        <w:rPr>
          <w:rFonts w:ascii="Futura Lt BT" w:eastAsia="Calibri" w:hAnsi="Futura Lt BT" w:cs="Courier New"/>
          <w:sz w:val="24"/>
          <w:szCs w:val="24"/>
          <w:lang w:val="es-MX"/>
        </w:rPr>
        <w:t>.</w:t>
      </w:r>
      <w:r w:rsidR="00360A1B" w:rsidRPr="00933AC3">
        <w:rPr>
          <w:rFonts w:ascii="Futura Lt BT" w:eastAsia="Calibri" w:hAnsi="Futura Lt BT" w:cs="Courier New"/>
          <w:sz w:val="24"/>
          <w:szCs w:val="24"/>
          <w:lang w:val="es-MX"/>
        </w:rPr>
        <w:t>4</w:t>
      </w:r>
      <w:r w:rsidRPr="00933AC3">
        <w:rPr>
          <w:rFonts w:ascii="Futura Lt BT" w:eastAsia="Calibri" w:hAnsi="Futura Lt BT" w:cs="Courier New"/>
          <w:sz w:val="24"/>
          <w:szCs w:val="24"/>
          <w:lang w:val="es-MX"/>
        </w:rPr>
        <w:t xml:space="preserve"> por ciento (US$</w:t>
      </w:r>
      <w:r w:rsidR="00DE3DBE" w:rsidRPr="00933AC3">
        <w:rPr>
          <w:rFonts w:ascii="Futura Lt BT" w:eastAsia="Calibri" w:hAnsi="Futura Lt BT" w:cs="Courier New"/>
          <w:sz w:val="24"/>
          <w:szCs w:val="24"/>
          <w:lang w:val="es-MX"/>
        </w:rPr>
        <w:t>3</w:t>
      </w:r>
      <w:r w:rsidRPr="00933AC3">
        <w:rPr>
          <w:rFonts w:ascii="Futura Lt BT" w:eastAsia="Calibri" w:hAnsi="Futura Lt BT" w:cs="Courier New"/>
          <w:sz w:val="24"/>
          <w:szCs w:val="24"/>
          <w:lang w:val="es-MX"/>
        </w:rPr>
        <w:t>4</w:t>
      </w:r>
      <w:r w:rsidR="00360A1B" w:rsidRPr="00933AC3">
        <w:rPr>
          <w:rFonts w:ascii="Futura Lt BT" w:eastAsia="Calibri" w:hAnsi="Futura Lt BT" w:cs="Courier New"/>
          <w:sz w:val="24"/>
          <w:szCs w:val="24"/>
          <w:lang w:val="es-MX"/>
        </w:rPr>
        <w:t>3</w:t>
      </w:r>
      <w:r w:rsidRPr="00933AC3">
        <w:rPr>
          <w:rFonts w:ascii="Futura Lt BT" w:eastAsia="Calibri" w:hAnsi="Futura Lt BT" w:cs="Courier New"/>
          <w:sz w:val="24"/>
          <w:szCs w:val="24"/>
          <w:lang w:val="es-MX"/>
        </w:rPr>
        <w:t>.</w:t>
      </w:r>
      <w:r w:rsidR="00360A1B" w:rsidRPr="00933AC3">
        <w:rPr>
          <w:rFonts w:ascii="Futura Lt BT" w:eastAsia="Calibri" w:hAnsi="Futura Lt BT" w:cs="Courier New"/>
          <w:sz w:val="24"/>
          <w:szCs w:val="24"/>
          <w:lang w:val="es-MX"/>
        </w:rPr>
        <w:t>0</w:t>
      </w:r>
      <w:r w:rsidRPr="00933AC3">
        <w:rPr>
          <w:rFonts w:ascii="Futura Lt BT" w:eastAsia="Calibri" w:hAnsi="Futura Lt BT" w:cs="Courier New"/>
          <w:sz w:val="24"/>
          <w:szCs w:val="24"/>
          <w:lang w:val="es-MX"/>
        </w:rPr>
        <w:t xml:space="preserve"> millones en el </w:t>
      </w:r>
      <w:r w:rsidR="00360A1B" w:rsidRPr="00933AC3">
        <w:rPr>
          <w:rFonts w:ascii="Futura Lt BT" w:eastAsia="Calibri" w:hAnsi="Futura Lt BT" w:cs="Courier New"/>
          <w:sz w:val="24"/>
          <w:szCs w:val="24"/>
          <w:lang w:val="es-MX"/>
        </w:rPr>
        <w:t>segundo</w:t>
      </w:r>
      <w:r w:rsidRPr="00933AC3">
        <w:rPr>
          <w:rFonts w:ascii="Futura Lt BT" w:eastAsia="Calibri" w:hAnsi="Futura Lt BT" w:cs="Courier New"/>
          <w:sz w:val="24"/>
          <w:szCs w:val="24"/>
          <w:lang w:val="es-MX"/>
        </w:rPr>
        <w:t xml:space="preserve"> trimestre de 202</w:t>
      </w:r>
      <w:r w:rsidR="00DE3DBE" w:rsidRPr="00933AC3">
        <w:rPr>
          <w:rFonts w:ascii="Futura Lt BT" w:eastAsia="Calibri" w:hAnsi="Futura Lt BT" w:cs="Courier New"/>
          <w:sz w:val="24"/>
          <w:szCs w:val="24"/>
          <w:lang w:val="es-MX"/>
        </w:rPr>
        <w:t>3</w:t>
      </w:r>
      <w:r w:rsidRPr="00933AC3">
        <w:rPr>
          <w:rFonts w:ascii="Futura Lt BT" w:eastAsia="Calibri" w:hAnsi="Futura Lt BT" w:cs="Courier New"/>
          <w:sz w:val="24"/>
          <w:szCs w:val="24"/>
          <w:lang w:val="es-MX"/>
        </w:rPr>
        <w:t>), debido principalmente a</w:t>
      </w:r>
      <w:r w:rsidR="00360A1B" w:rsidRPr="00933AC3">
        <w:rPr>
          <w:rFonts w:ascii="Futura Lt BT" w:eastAsia="Calibri" w:hAnsi="Futura Lt BT" w:cs="Courier New"/>
          <w:sz w:val="24"/>
          <w:szCs w:val="24"/>
          <w:lang w:val="es-MX"/>
        </w:rPr>
        <w:t xml:space="preserve"> </w:t>
      </w:r>
      <w:r w:rsidR="005C3D4B" w:rsidRPr="00933AC3">
        <w:rPr>
          <w:rFonts w:ascii="Futura Lt BT" w:eastAsia="Calibri" w:hAnsi="Futura Lt BT" w:cs="Courier New"/>
          <w:sz w:val="24"/>
          <w:szCs w:val="24"/>
          <w:lang w:val="es-MX"/>
        </w:rPr>
        <w:t>l</w:t>
      </w:r>
      <w:r w:rsidR="00360A1B" w:rsidRPr="00933AC3">
        <w:rPr>
          <w:rFonts w:ascii="Futura Lt BT" w:eastAsia="Calibri" w:hAnsi="Futura Lt BT" w:cs="Courier New"/>
          <w:sz w:val="24"/>
          <w:szCs w:val="24"/>
          <w:lang w:val="es-MX"/>
        </w:rPr>
        <w:t>a</w:t>
      </w:r>
      <w:r w:rsidR="005C3D4B" w:rsidRPr="00933AC3">
        <w:rPr>
          <w:rFonts w:ascii="Futura Lt BT" w:eastAsia="Calibri" w:hAnsi="Futura Lt BT" w:cs="Courier New"/>
          <w:sz w:val="24"/>
          <w:szCs w:val="24"/>
          <w:lang w:val="es-MX"/>
        </w:rPr>
        <w:t xml:space="preserve"> </w:t>
      </w:r>
      <w:r w:rsidR="00360A1B" w:rsidRPr="00933AC3">
        <w:rPr>
          <w:rFonts w:ascii="Futura Lt BT" w:eastAsia="Calibri" w:hAnsi="Futura Lt BT" w:cs="Courier New"/>
          <w:sz w:val="24"/>
          <w:szCs w:val="24"/>
          <w:lang w:val="es-MX"/>
        </w:rPr>
        <w:t>disminución</w:t>
      </w:r>
      <w:r w:rsidR="005C3D4B" w:rsidRPr="00933AC3">
        <w:rPr>
          <w:rFonts w:ascii="Futura Lt BT" w:eastAsia="Calibri" w:hAnsi="Futura Lt BT" w:cs="Courier New"/>
          <w:sz w:val="24"/>
          <w:szCs w:val="24"/>
          <w:lang w:val="es-MX"/>
        </w:rPr>
        <w:t xml:space="preserve"> de los ingresos por turismo de no residentes (</w:t>
      </w:r>
      <w:r w:rsidR="00360A1B" w:rsidRPr="00933AC3">
        <w:rPr>
          <w:rFonts w:ascii="Futura Lt BT" w:eastAsia="Calibri" w:hAnsi="Futura Lt BT" w:cs="Courier New"/>
          <w:sz w:val="24"/>
          <w:szCs w:val="24"/>
          <w:lang w:val="es-MX"/>
        </w:rPr>
        <w:t>-12</w:t>
      </w:r>
      <w:r w:rsidR="005C3D4B" w:rsidRPr="00933AC3">
        <w:rPr>
          <w:rFonts w:ascii="Futura Lt BT" w:eastAsia="Calibri" w:hAnsi="Futura Lt BT" w:cs="Courier New"/>
          <w:sz w:val="24"/>
          <w:szCs w:val="24"/>
          <w:lang w:val="es-MX"/>
        </w:rPr>
        <w:t>.</w:t>
      </w:r>
      <w:r w:rsidR="00360A1B" w:rsidRPr="00933AC3">
        <w:rPr>
          <w:rFonts w:ascii="Futura Lt BT" w:eastAsia="Calibri" w:hAnsi="Futura Lt BT" w:cs="Courier New"/>
          <w:sz w:val="24"/>
          <w:szCs w:val="24"/>
          <w:lang w:val="es-MX"/>
        </w:rPr>
        <w:t>4</w:t>
      </w:r>
      <w:r w:rsidR="005C3D4B" w:rsidRPr="00933AC3">
        <w:rPr>
          <w:rFonts w:ascii="Futura Lt BT" w:eastAsia="Calibri" w:hAnsi="Futura Lt BT" w:cs="Courier New"/>
          <w:sz w:val="24"/>
          <w:szCs w:val="24"/>
          <w:lang w:val="es-MX"/>
        </w:rPr>
        <w:t>%),</w:t>
      </w:r>
      <w:r w:rsidRPr="00933AC3">
        <w:rPr>
          <w:rFonts w:ascii="Futura Lt BT" w:eastAsia="Calibri" w:hAnsi="Futura Lt BT" w:cs="Courier New"/>
          <w:sz w:val="24"/>
          <w:szCs w:val="24"/>
          <w:lang w:val="es-MX"/>
        </w:rPr>
        <w:t xml:space="preserve"> </w:t>
      </w:r>
      <w:r w:rsidR="005C3D4B" w:rsidRPr="00933AC3">
        <w:rPr>
          <w:rFonts w:ascii="Futura Lt BT" w:eastAsia="Calibri" w:hAnsi="Futura Lt BT" w:cs="Courier New"/>
          <w:sz w:val="24"/>
          <w:szCs w:val="24"/>
          <w:lang w:val="es-MX"/>
        </w:rPr>
        <w:t xml:space="preserve">el cual estuvo asociado </w:t>
      </w:r>
      <w:r w:rsidR="006944FB" w:rsidRPr="00933AC3">
        <w:rPr>
          <w:rFonts w:ascii="Futura Lt BT" w:eastAsia="Calibri" w:hAnsi="Futura Lt BT" w:cs="Courier New"/>
          <w:sz w:val="24"/>
          <w:szCs w:val="24"/>
          <w:lang w:val="es-MX"/>
        </w:rPr>
        <w:t xml:space="preserve">a </w:t>
      </w:r>
      <w:r w:rsidR="00577308" w:rsidRPr="00933AC3">
        <w:rPr>
          <w:rFonts w:ascii="Futura Lt BT" w:eastAsia="Calibri" w:hAnsi="Futura Lt BT" w:cs="Courier New"/>
          <w:sz w:val="24"/>
          <w:szCs w:val="24"/>
          <w:lang w:val="es-MX"/>
        </w:rPr>
        <w:t>disminuciones</w:t>
      </w:r>
      <w:r w:rsidR="00830EE4" w:rsidRPr="00933AC3">
        <w:rPr>
          <w:rFonts w:ascii="Futura Lt BT" w:eastAsia="Calibri" w:hAnsi="Futura Lt BT" w:cs="Courier New"/>
          <w:sz w:val="24"/>
          <w:szCs w:val="24"/>
          <w:lang w:val="es-MX"/>
        </w:rPr>
        <w:t xml:space="preserve"> en la</w:t>
      </w:r>
      <w:r w:rsidR="006944FB" w:rsidRPr="00933AC3">
        <w:rPr>
          <w:rFonts w:ascii="Futura Lt BT" w:eastAsia="Calibri" w:hAnsi="Futura Lt BT" w:cs="Courier New"/>
          <w:sz w:val="24"/>
          <w:szCs w:val="24"/>
          <w:lang w:val="es-MX"/>
        </w:rPr>
        <w:t xml:space="preserve"> entrada de turistas y del gasto per cápita diario, </w:t>
      </w:r>
      <w:r w:rsidR="005C3D4B" w:rsidRPr="00933AC3">
        <w:rPr>
          <w:rFonts w:ascii="Futura Lt BT" w:eastAsia="Calibri" w:hAnsi="Futura Lt BT" w:cs="Courier New"/>
          <w:sz w:val="24"/>
          <w:szCs w:val="24"/>
          <w:lang w:val="es-MX"/>
        </w:rPr>
        <w:t xml:space="preserve">lo cual fue parcialmente contrarrestado por </w:t>
      </w:r>
      <w:r w:rsidR="00360A1B" w:rsidRPr="00933AC3">
        <w:rPr>
          <w:rFonts w:ascii="Futura Lt BT" w:eastAsia="Calibri" w:hAnsi="Futura Lt BT" w:cs="Courier New"/>
          <w:sz w:val="24"/>
          <w:szCs w:val="24"/>
          <w:lang w:val="es-MX"/>
        </w:rPr>
        <w:t>e</w:t>
      </w:r>
      <w:r w:rsidRPr="00933AC3">
        <w:rPr>
          <w:rFonts w:ascii="Futura Lt BT" w:eastAsia="Calibri" w:hAnsi="Futura Lt BT" w:cs="Courier New"/>
          <w:sz w:val="24"/>
          <w:szCs w:val="24"/>
          <w:lang w:val="es-MX"/>
        </w:rPr>
        <w:t xml:space="preserve">l </w:t>
      </w:r>
      <w:r w:rsidR="00360A1B" w:rsidRPr="00933AC3">
        <w:rPr>
          <w:rFonts w:ascii="Futura Lt BT" w:eastAsia="Calibri" w:hAnsi="Futura Lt BT" w:cs="Courier New"/>
          <w:sz w:val="24"/>
          <w:szCs w:val="24"/>
          <w:lang w:val="es-MX"/>
        </w:rPr>
        <w:t>incremento</w:t>
      </w:r>
      <w:r w:rsidRPr="00933AC3">
        <w:rPr>
          <w:rFonts w:ascii="Futura Lt BT" w:eastAsia="Calibri" w:hAnsi="Futura Lt BT" w:cs="Courier New"/>
          <w:sz w:val="24"/>
          <w:szCs w:val="24"/>
          <w:lang w:val="es-MX"/>
        </w:rPr>
        <w:t xml:space="preserve"> de los ingresos de </w:t>
      </w:r>
      <w:r w:rsidR="00360A1B" w:rsidRPr="00933AC3">
        <w:rPr>
          <w:rFonts w:ascii="Futura Lt BT" w:eastAsia="Calibri" w:hAnsi="Futura Lt BT" w:cs="Courier New"/>
          <w:sz w:val="24"/>
          <w:szCs w:val="24"/>
          <w:lang w:val="es-MX"/>
        </w:rPr>
        <w:t>otros servicios empresariales</w:t>
      </w:r>
      <w:r w:rsidRPr="00933AC3">
        <w:rPr>
          <w:rFonts w:ascii="Futura Lt BT" w:eastAsia="Calibri" w:hAnsi="Futura Lt BT" w:cs="Courier New"/>
          <w:sz w:val="24"/>
          <w:szCs w:val="24"/>
          <w:lang w:val="es-MX"/>
        </w:rPr>
        <w:t xml:space="preserve"> (</w:t>
      </w:r>
      <w:r w:rsidR="00360A1B" w:rsidRPr="00933AC3">
        <w:rPr>
          <w:rFonts w:ascii="Futura Lt BT" w:eastAsia="Calibri" w:hAnsi="Futura Lt BT" w:cs="Courier New"/>
          <w:sz w:val="24"/>
          <w:szCs w:val="24"/>
          <w:lang w:val="es-MX"/>
        </w:rPr>
        <w:t>44</w:t>
      </w:r>
      <w:r w:rsidRPr="00933AC3">
        <w:rPr>
          <w:rFonts w:ascii="Futura Lt BT" w:eastAsia="Calibri" w:hAnsi="Futura Lt BT" w:cs="Courier New"/>
          <w:sz w:val="24"/>
          <w:szCs w:val="24"/>
          <w:lang w:val="es-MX"/>
        </w:rPr>
        <w:t>.</w:t>
      </w:r>
      <w:r w:rsidR="009B0018" w:rsidRPr="00933AC3">
        <w:rPr>
          <w:rFonts w:ascii="Futura Lt BT" w:eastAsia="Calibri" w:hAnsi="Futura Lt BT" w:cs="Courier New"/>
          <w:sz w:val="24"/>
          <w:szCs w:val="24"/>
          <w:lang w:val="es-MX"/>
        </w:rPr>
        <w:t>3</w:t>
      </w:r>
      <w:r w:rsidRPr="00933AC3">
        <w:rPr>
          <w:rFonts w:ascii="Futura Lt BT" w:eastAsia="Calibri" w:hAnsi="Futura Lt BT" w:cs="Courier New"/>
          <w:sz w:val="24"/>
          <w:szCs w:val="24"/>
          <w:lang w:val="es-MX"/>
        </w:rPr>
        <w:t>%)</w:t>
      </w:r>
      <w:r w:rsidR="00E129F9" w:rsidRPr="00933AC3">
        <w:rPr>
          <w:rFonts w:ascii="Futura Lt BT" w:eastAsia="Calibri" w:hAnsi="Futura Lt BT" w:cs="Courier New"/>
          <w:sz w:val="24"/>
          <w:szCs w:val="24"/>
          <w:lang w:val="es-MX"/>
        </w:rPr>
        <w:t>.</w:t>
      </w:r>
      <w:r w:rsidR="002960C4" w:rsidRPr="00933AC3">
        <w:rPr>
          <w:rFonts w:ascii="Futura Lt BT" w:eastAsia="Calibri" w:hAnsi="Futura Lt BT" w:cs="Courier New"/>
          <w:sz w:val="24"/>
          <w:szCs w:val="24"/>
          <w:lang w:val="es-MX"/>
        </w:rPr>
        <w:t xml:space="preserve"> </w:t>
      </w:r>
    </w:p>
    <w:p w:rsidR="002960C4" w:rsidRPr="00933AC3" w:rsidRDefault="002960C4" w:rsidP="00933AC3">
      <w:pPr>
        <w:spacing w:line="276" w:lineRule="auto"/>
        <w:jc w:val="both"/>
        <w:rPr>
          <w:rFonts w:ascii="Futura Lt BT" w:eastAsia="Calibri" w:hAnsi="Futura Lt BT" w:cs="Courier New"/>
          <w:sz w:val="24"/>
          <w:szCs w:val="24"/>
          <w:lang w:val="es-MX"/>
        </w:rPr>
      </w:pPr>
      <w:r w:rsidRPr="00933AC3">
        <w:rPr>
          <w:rFonts w:ascii="Futura Lt BT" w:eastAsia="Calibri" w:hAnsi="Futura Lt BT" w:cs="Courier New"/>
          <w:sz w:val="24"/>
          <w:szCs w:val="24"/>
          <w:lang w:val="es-MX"/>
        </w:rPr>
        <w:t>En términos acumulados, las exportaciones de bienes totalizaron 3,522.2 millones de dólares en el primer semestre del año, con una disminución de 1.2 por ciento con respecto igual período del año pasado; en tanto, las exportaciones de servicios sumaron 662.0 millones de dólares en el primer semestre de 2024, reflejando una reducción interanual de 4.3 por ciento</w:t>
      </w:r>
      <w:r w:rsidR="00A42F59">
        <w:rPr>
          <w:rFonts w:ascii="Futura Lt BT" w:eastAsia="Calibri" w:hAnsi="Futura Lt BT" w:cs="Courier New"/>
          <w:sz w:val="24"/>
          <w:szCs w:val="24"/>
          <w:lang w:val="es-MX"/>
        </w:rPr>
        <w:t xml:space="preserve">, debido principalmente a la disminución </w:t>
      </w:r>
      <w:r w:rsidR="00775817">
        <w:rPr>
          <w:rFonts w:ascii="Futura Lt BT" w:eastAsia="Calibri" w:hAnsi="Futura Lt BT" w:cs="Courier New"/>
          <w:sz w:val="24"/>
          <w:szCs w:val="24"/>
          <w:lang w:val="es-MX"/>
        </w:rPr>
        <w:t xml:space="preserve">de 5.0 por ciento en </w:t>
      </w:r>
      <w:r w:rsidR="00A42F59">
        <w:rPr>
          <w:rFonts w:ascii="Futura Lt BT" w:eastAsia="Calibri" w:hAnsi="Futura Lt BT" w:cs="Courier New"/>
          <w:sz w:val="24"/>
          <w:szCs w:val="24"/>
          <w:lang w:val="es-MX"/>
        </w:rPr>
        <w:t>los ingreso</w:t>
      </w:r>
      <w:r w:rsidR="00D71E41">
        <w:rPr>
          <w:rFonts w:ascii="Futura Lt BT" w:eastAsia="Calibri" w:hAnsi="Futura Lt BT" w:cs="Courier New"/>
          <w:sz w:val="24"/>
          <w:szCs w:val="24"/>
          <w:lang w:val="es-MX"/>
        </w:rPr>
        <w:t>s</w:t>
      </w:r>
      <w:r w:rsidR="00A42F59">
        <w:rPr>
          <w:rFonts w:ascii="Futura Lt BT" w:eastAsia="Calibri" w:hAnsi="Futura Lt BT" w:cs="Courier New"/>
          <w:sz w:val="24"/>
          <w:szCs w:val="24"/>
          <w:lang w:val="es-MX"/>
        </w:rPr>
        <w:t xml:space="preserve"> por turismo </w:t>
      </w:r>
      <w:r w:rsidR="00775817">
        <w:rPr>
          <w:rFonts w:ascii="Futura Lt BT" w:eastAsia="Calibri" w:hAnsi="Futura Lt BT" w:cs="Courier New"/>
          <w:sz w:val="24"/>
          <w:szCs w:val="24"/>
          <w:lang w:val="es-MX"/>
        </w:rPr>
        <w:t xml:space="preserve">(US$270.9 millones); además </w:t>
      </w:r>
      <w:r w:rsidR="00A42F59">
        <w:rPr>
          <w:rFonts w:ascii="Futura Lt BT" w:eastAsia="Calibri" w:hAnsi="Futura Lt BT" w:cs="Courier New"/>
          <w:sz w:val="24"/>
          <w:szCs w:val="24"/>
          <w:lang w:val="es-MX"/>
        </w:rPr>
        <w:t xml:space="preserve">de </w:t>
      </w:r>
      <w:r w:rsidR="00775817">
        <w:rPr>
          <w:rFonts w:ascii="Futura Lt BT" w:eastAsia="Calibri" w:hAnsi="Futura Lt BT" w:cs="Courier New"/>
          <w:sz w:val="24"/>
          <w:szCs w:val="24"/>
          <w:lang w:val="es-MX"/>
        </w:rPr>
        <w:t xml:space="preserve">las disminuciones de 6.0 por ciento en los </w:t>
      </w:r>
      <w:r w:rsidR="00775817">
        <w:rPr>
          <w:rFonts w:ascii="Futura Lt BT" w:hAnsi="Futura Lt BT" w:cs="Courier New"/>
          <w:sz w:val="24"/>
          <w:szCs w:val="24"/>
          <w:lang w:val="es-MX"/>
        </w:rPr>
        <w:t>servicios de manufactura bajo zona franca (US$127.2 millones)</w:t>
      </w:r>
      <w:r w:rsidR="00775817" w:rsidRPr="00775817">
        <w:rPr>
          <w:rFonts w:ascii="Futura Lt BT" w:hAnsi="Futura Lt BT" w:cs="Courier New"/>
          <w:sz w:val="24"/>
          <w:szCs w:val="24"/>
          <w:lang w:val="es-MX"/>
        </w:rPr>
        <w:t xml:space="preserve"> </w:t>
      </w:r>
      <w:r w:rsidR="007D6691">
        <w:rPr>
          <w:rFonts w:ascii="Futura Lt BT" w:hAnsi="Futura Lt BT" w:cs="Courier New"/>
          <w:sz w:val="24"/>
          <w:szCs w:val="24"/>
          <w:lang w:val="es-MX"/>
        </w:rPr>
        <w:t>y de 19.2 por ciento en los</w:t>
      </w:r>
      <w:r w:rsidR="00775817" w:rsidRPr="00775817">
        <w:rPr>
          <w:rFonts w:ascii="Futura Lt BT" w:hAnsi="Futura Lt BT" w:cs="Courier New"/>
          <w:sz w:val="24"/>
          <w:szCs w:val="24"/>
          <w:lang w:val="es-MX"/>
        </w:rPr>
        <w:t xml:space="preserve"> ingresos por servicios de telecomunicaciones (US$115.5 millones)</w:t>
      </w:r>
      <w:r w:rsidR="007D6691">
        <w:rPr>
          <w:rFonts w:ascii="Futura Lt BT" w:hAnsi="Futura Lt BT" w:cs="Courier New"/>
          <w:sz w:val="24"/>
          <w:szCs w:val="24"/>
          <w:lang w:val="es-MX"/>
        </w:rPr>
        <w:t>.</w:t>
      </w:r>
    </w:p>
    <w:p w:rsidR="00D86268" w:rsidRDefault="002960C4" w:rsidP="00D86268">
      <w:pPr>
        <w:pStyle w:val="Textoindependiente"/>
        <w:spacing w:line="276" w:lineRule="auto"/>
        <w:rPr>
          <w:rFonts w:cs="Courier New"/>
        </w:rPr>
      </w:pPr>
      <w:r>
        <w:rPr>
          <w:rFonts w:cs="Courier New"/>
        </w:rPr>
        <w:t xml:space="preserve"> </w:t>
      </w:r>
    </w:p>
    <w:p w:rsidR="00103C2D" w:rsidRPr="002979FC" w:rsidRDefault="00A42F59" w:rsidP="00D86268">
      <w:pPr>
        <w:pStyle w:val="Textoindependiente"/>
        <w:spacing w:line="276" w:lineRule="auto"/>
        <w:rPr>
          <w:rFonts w:cs="Courier New"/>
        </w:rPr>
      </w:pPr>
      <w:r w:rsidRPr="0024442F">
        <w:rPr>
          <w:noProof/>
        </w:rPr>
        <w:drawing>
          <wp:anchor distT="0" distB="0" distL="114300" distR="114300" simplePos="0" relativeHeight="251849728" behindDoc="0" locked="0" layoutInCell="1" allowOverlap="1">
            <wp:simplePos x="0" y="0"/>
            <wp:positionH relativeFrom="column">
              <wp:posOffset>58103</wp:posOffset>
            </wp:positionH>
            <wp:positionV relativeFrom="paragraph">
              <wp:posOffset>78105</wp:posOffset>
            </wp:positionV>
            <wp:extent cx="2752725" cy="20669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72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442F">
        <w:rPr>
          <w:noProof/>
        </w:rPr>
        <w:drawing>
          <wp:anchor distT="0" distB="0" distL="114300" distR="114300" simplePos="0" relativeHeight="251850752" behindDoc="0" locked="0" layoutInCell="1" allowOverlap="1">
            <wp:simplePos x="0" y="0"/>
            <wp:positionH relativeFrom="column">
              <wp:posOffset>3087053</wp:posOffset>
            </wp:positionH>
            <wp:positionV relativeFrom="paragraph">
              <wp:posOffset>11430</wp:posOffset>
            </wp:positionV>
            <wp:extent cx="2488523" cy="208089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340" cy="2086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42F" w:rsidRPr="0024442F">
        <w:rPr>
          <w:rFonts w:cs="Courier New"/>
        </w:rPr>
        <w:t xml:space="preserve"> </w:t>
      </w:r>
    </w:p>
    <w:p w:rsidR="00E129F9" w:rsidRPr="002979FC" w:rsidRDefault="0024442F" w:rsidP="00D86268">
      <w:pPr>
        <w:pStyle w:val="Textoindependiente"/>
        <w:spacing w:line="276" w:lineRule="auto"/>
      </w:pPr>
      <w:r w:rsidRPr="0024442F">
        <w:t xml:space="preserve"> </w:t>
      </w:r>
      <w:r w:rsidR="00103C2D">
        <w:rPr>
          <w:noProof/>
        </w:rPr>
        <w:t xml:space="preserve">  </w:t>
      </w:r>
    </w:p>
    <w:p w:rsidR="00E54ACB" w:rsidRDefault="005E1F5F" w:rsidP="005C0EE2">
      <w:pPr>
        <w:pStyle w:val="Textoindependiente"/>
        <w:spacing w:line="120" w:lineRule="auto"/>
      </w:pPr>
      <w:r w:rsidRPr="005E1F5F">
        <w:t xml:space="preserve">  </w:t>
      </w:r>
    </w:p>
    <w:p w:rsidR="005E1F5F" w:rsidRDefault="005E1F5F" w:rsidP="00D86268">
      <w:pPr>
        <w:spacing w:after="0" w:line="276" w:lineRule="auto"/>
        <w:jc w:val="both"/>
        <w:rPr>
          <w:rFonts w:ascii="Futura Lt BT" w:hAnsi="Futura Lt BT" w:cs="Courier New"/>
          <w:sz w:val="24"/>
          <w:szCs w:val="24"/>
          <w:lang w:val="es-MX"/>
        </w:rPr>
      </w:pPr>
    </w:p>
    <w:p w:rsidR="005E1F5F" w:rsidRDefault="005E1F5F" w:rsidP="00D86268">
      <w:pPr>
        <w:spacing w:after="0" w:line="276" w:lineRule="auto"/>
        <w:jc w:val="both"/>
        <w:rPr>
          <w:rFonts w:ascii="Futura Lt BT" w:hAnsi="Futura Lt BT" w:cs="Courier New"/>
          <w:sz w:val="24"/>
          <w:szCs w:val="24"/>
          <w:lang w:val="es-MX"/>
        </w:rPr>
      </w:pPr>
    </w:p>
    <w:p w:rsidR="005E1F5F" w:rsidRDefault="005E1F5F" w:rsidP="00D86268">
      <w:pPr>
        <w:spacing w:after="0" w:line="276" w:lineRule="auto"/>
        <w:jc w:val="both"/>
        <w:rPr>
          <w:rFonts w:ascii="Futura Lt BT" w:hAnsi="Futura Lt BT" w:cs="Courier New"/>
          <w:sz w:val="24"/>
          <w:szCs w:val="24"/>
          <w:lang w:val="es-MX"/>
        </w:rPr>
      </w:pPr>
    </w:p>
    <w:p w:rsidR="005E1F5F" w:rsidRDefault="005E1F5F" w:rsidP="00D86268">
      <w:pPr>
        <w:spacing w:after="0" w:line="276" w:lineRule="auto"/>
        <w:jc w:val="both"/>
        <w:rPr>
          <w:rFonts w:ascii="Futura Lt BT" w:hAnsi="Futura Lt BT" w:cs="Courier New"/>
          <w:sz w:val="24"/>
          <w:szCs w:val="24"/>
          <w:lang w:val="es-MX"/>
        </w:rPr>
      </w:pPr>
    </w:p>
    <w:p w:rsidR="005E1F5F" w:rsidRDefault="005E1F5F" w:rsidP="00D86268">
      <w:pPr>
        <w:spacing w:after="0" w:line="276" w:lineRule="auto"/>
        <w:jc w:val="both"/>
        <w:rPr>
          <w:rFonts w:ascii="Futura Lt BT" w:hAnsi="Futura Lt BT" w:cs="Courier New"/>
          <w:sz w:val="24"/>
          <w:szCs w:val="24"/>
          <w:lang w:val="es-MX"/>
        </w:rPr>
      </w:pPr>
    </w:p>
    <w:p w:rsidR="005E1F5F" w:rsidRDefault="00103C2D" w:rsidP="00D86268">
      <w:pPr>
        <w:spacing w:after="0" w:line="276" w:lineRule="auto"/>
        <w:jc w:val="both"/>
        <w:rPr>
          <w:rFonts w:ascii="Futura Lt BT" w:hAnsi="Futura Lt BT" w:cs="Courier New"/>
          <w:sz w:val="24"/>
          <w:szCs w:val="24"/>
          <w:lang w:val="es-MX"/>
        </w:rPr>
      </w:pPr>
      <w:r>
        <w:rPr>
          <w:rFonts w:ascii="Futura Lt BT" w:hAnsi="Futura Lt BT" w:cs="Courier New"/>
          <w:sz w:val="24"/>
          <w:szCs w:val="24"/>
          <w:lang w:val="es-MX"/>
        </w:rPr>
        <w:t xml:space="preserve">  </w:t>
      </w:r>
    </w:p>
    <w:p w:rsidR="00EB716D" w:rsidRDefault="00EB716D" w:rsidP="00D86268">
      <w:pPr>
        <w:spacing w:after="0" w:line="276" w:lineRule="auto"/>
        <w:jc w:val="both"/>
        <w:rPr>
          <w:rFonts w:ascii="Futura Lt BT" w:hAnsi="Futura Lt BT" w:cs="Courier New"/>
          <w:sz w:val="24"/>
          <w:szCs w:val="24"/>
          <w:lang w:val="es-MX"/>
        </w:rPr>
      </w:pPr>
    </w:p>
    <w:p w:rsidR="00506D13" w:rsidRDefault="00506D13" w:rsidP="00D86268">
      <w:pPr>
        <w:spacing w:after="0" w:line="276" w:lineRule="auto"/>
        <w:jc w:val="both"/>
        <w:rPr>
          <w:rFonts w:ascii="Futura Lt BT" w:hAnsi="Futura Lt BT" w:cs="Courier New"/>
          <w:sz w:val="24"/>
          <w:szCs w:val="24"/>
          <w:lang w:val="es-MX"/>
        </w:rPr>
      </w:pPr>
    </w:p>
    <w:p w:rsidR="00F37BA1" w:rsidRPr="00933AC3" w:rsidRDefault="00D86268" w:rsidP="00933AC3">
      <w:pPr>
        <w:spacing w:line="276" w:lineRule="auto"/>
        <w:jc w:val="both"/>
        <w:rPr>
          <w:rFonts w:ascii="Futura Lt BT" w:eastAsia="Calibri" w:hAnsi="Futura Lt BT" w:cs="Courier New"/>
          <w:sz w:val="24"/>
          <w:szCs w:val="24"/>
          <w:lang w:val="es-MX"/>
        </w:rPr>
      </w:pPr>
      <w:r w:rsidRPr="00933AC3">
        <w:rPr>
          <w:rFonts w:ascii="Futura Lt BT" w:eastAsia="Calibri" w:hAnsi="Futura Lt BT" w:cs="Courier New"/>
          <w:sz w:val="24"/>
          <w:szCs w:val="24"/>
          <w:lang w:val="es-MX"/>
        </w:rPr>
        <w:t>Las importaciones de bienes</w:t>
      </w:r>
      <w:r w:rsidRPr="00621F64">
        <w:rPr>
          <w:rFonts w:ascii="Futura Lt BT" w:eastAsia="Calibri" w:hAnsi="Futura Lt BT" w:cs="Courier New"/>
          <w:sz w:val="24"/>
          <w:szCs w:val="24"/>
          <w:vertAlign w:val="superscript"/>
          <w:lang w:val="es-MX"/>
        </w:rPr>
        <w:footnoteReference w:id="2"/>
      </w:r>
      <w:r w:rsidRPr="00933AC3">
        <w:rPr>
          <w:rFonts w:ascii="Futura Lt BT" w:eastAsia="Calibri" w:hAnsi="Futura Lt BT" w:cs="Courier New"/>
          <w:sz w:val="24"/>
          <w:szCs w:val="24"/>
          <w:lang w:val="es-MX"/>
        </w:rPr>
        <w:t xml:space="preserve"> fueron de 2,</w:t>
      </w:r>
      <w:r w:rsidR="00EB716D" w:rsidRPr="00933AC3">
        <w:rPr>
          <w:rFonts w:ascii="Futura Lt BT" w:eastAsia="Calibri" w:hAnsi="Futura Lt BT" w:cs="Courier New"/>
          <w:sz w:val="24"/>
          <w:szCs w:val="24"/>
          <w:lang w:val="es-MX"/>
        </w:rPr>
        <w:t>496</w:t>
      </w:r>
      <w:r w:rsidRPr="00933AC3">
        <w:rPr>
          <w:rFonts w:ascii="Futura Lt BT" w:eastAsia="Calibri" w:hAnsi="Futura Lt BT" w:cs="Courier New"/>
          <w:sz w:val="24"/>
          <w:szCs w:val="24"/>
          <w:lang w:val="es-MX"/>
        </w:rPr>
        <w:t>.</w:t>
      </w:r>
      <w:r w:rsidR="00EB716D" w:rsidRPr="00933AC3">
        <w:rPr>
          <w:rFonts w:ascii="Futura Lt BT" w:eastAsia="Calibri" w:hAnsi="Futura Lt BT" w:cs="Courier New"/>
          <w:sz w:val="24"/>
          <w:szCs w:val="24"/>
          <w:lang w:val="es-MX"/>
        </w:rPr>
        <w:t>5</w:t>
      </w:r>
      <w:r w:rsidRPr="00933AC3">
        <w:rPr>
          <w:rFonts w:ascii="Futura Lt BT" w:eastAsia="Calibri" w:hAnsi="Futura Lt BT" w:cs="Courier New"/>
          <w:sz w:val="24"/>
          <w:szCs w:val="24"/>
          <w:lang w:val="es-MX"/>
        </w:rPr>
        <w:t xml:space="preserve"> millones de dólares</w:t>
      </w:r>
      <w:r w:rsidR="002960C4" w:rsidRPr="00933AC3">
        <w:rPr>
          <w:rFonts w:ascii="Futura Lt BT" w:eastAsia="Calibri" w:hAnsi="Futura Lt BT" w:cs="Courier New"/>
          <w:sz w:val="24"/>
          <w:szCs w:val="24"/>
          <w:lang w:val="es-MX"/>
        </w:rPr>
        <w:t xml:space="preserve"> en el trimestre</w:t>
      </w:r>
      <w:r w:rsidRPr="00933AC3">
        <w:rPr>
          <w:rFonts w:ascii="Futura Lt BT" w:eastAsia="Calibri" w:hAnsi="Futura Lt BT" w:cs="Courier New"/>
          <w:sz w:val="24"/>
          <w:szCs w:val="24"/>
          <w:lang w:val="es-MX"/>
        </w:rPr>
        <w:t xml:space="preserve">, las cuales aumentaron </w:t>
      </w:r>
      <w:r w:rsidR="00EB716D" w:rsidRPr="00933AC3">
        <w:rPr>
          <w:rFonts w:ascii="Futura Lt BT" w:eastAsia="Calibri" w:hAnsi="Futura Lt BT" w:cs="Courier New"/>
          <w:sz w:val="24"/>
          <w:szCs w:val="24"/>
          <w:lang w:val="es-MX"/>
        </w:rPr>
        <w:t>6</w:t>
      </w:r>
      <w:r w:rsidRPr="00933AC3">
        <w:rPr>
          <w:rFonts w:ascii="Futura Lt BT" w:eastAsia="Calibri" w:hAnsi="Futura Lt BT" w:cs="Courier New"/>
          <w:sz w:val="24"/>
          <w:szCs w:val="24"/>
          <w:lang w:val="es-MX"/>
        </w:rPr>
        <w:t>.</w:t>
      </w:r>
      <w:r w:rsidR="00635ABB" w:rsidRPr="00933AC3">
        <w:rPr>
          <w:rFonts w:ascii="Futura Lt BT" w:eastAsia="Calibri" w:hAnsi="Futura Lt BT" w:cs="Courier New"/>
          <w:sz w:val="24"/>
          <w:szCs w:val="24"/>
          <w:lang w:val="es-MX"/>
        </w:rPr>
        <w:t>4</w:t>
      </w:r>
      <w:r w:rsidRPr="00933AC3">
        <w:rPr>
          <w:rFonts w:ascii="Futura Lt BT" w:eastAsia="Calibri" w:hAnsi="Futura Lt BT" w:cs="Courier New"/>
          <w:sz w:val="24"/>
          <w:szCs w:val="24"/>
          <w:lang w:val="es-MX"/>
        </w:rPr>
        <w:t xml:space="preserve"> por ciento con respecto a</w:t>
      </w:r>
      <w:r w:rsidR="008F02A9" w:rsidRPr="00933AC3">
        <w:rPr>
          <w:rFonts w:ascii="Futura Lt BT" w:eastAsia="Calibri" w:hAnsi="Futura Lt BT" w:cs="Courier New"/>
          <w:sz w:val="24"/>
          <w:szCs w:val="24"/>
          <w:lang w:val="es-MX"/>
        </w:rPr>
        <w:t>l</w:t>
      </w:r>
      <w:r w:rsidR="00626E1E" w:rsidRPr="00933AC3">
        <w:rPr>
          <w:rFonts w:ascii="Futura Lt BT" w:eastAsia="Calibri" w:hAnsi="Futura Lt BT" w:cs="Courier New"/>
          <w:sz w:val="24"/>
          <w:szCs w:val="24"/>
          <w:lang w:val="es-MX"/>
        </w:rPr>
        <w:t xml:space="preserve"> segundo</w:t>
      </w:r>
      <w:r w:rsidRPr="00933AC3">
        <w:rPr>
          <w:rFonts w:ascii="Futura Lt BT" w:eastAsia="Calibri" w:hAnsi="Futura Lt BT" w:cs="Courier New"/>
          <w:sz w:val="24"/>
          <w:szCs w:val="24"/>
          <w:lang w:val="es-MX"/>
        </w:rPr>
        <w:t xml:space="preserve"> </w:t>
      </w:r>
      <w:r w:rsidR="005317B5" w:rsidRPr="00933AC3">
        <w:rPr>
          <w:rFonts w:ascii="Futura Lt BT" w:eastAsia="Calibri" w:hAnsi="Futura Lt BT" w:cs="Courier New"/>
          <w:sz w:val="24"/>
          <w:szCs w:val="24"/>
          <w:lang w:val="es-MX"/>
        </w:rPr>
        <w:t>trimestre</w:t>
      </w:r>
      <w:r w:rsidRPr="00933AC3">
        <w:rPr>
          <w:rFonts w:ascii="Futura Lt BT" w:eastAsia="Calibri" w:hAnsi="Futura Lt BT" w:cs="Courier New"/>
          <w:sz w:val="24"/>
          <w:szCs w:val="24"/>
          <w:lang w:val="es-MX"/>
        </w:rPr>
        <w:t xml:space="preserve"> </w:t>
      </w:r>
      <w:r w:rsidR="002960C4" w:rsidRPr="00933AC3">
        <w:rPr>
          <w:rFonts w:ascii="Futura Lt BT" w:eastAsia="Calibri" w:hAnsi="Futura Lt BT" w:cs="Courier New"/>
          <w:sz w:val="24"/>
          <w:szCs w:val="24"/>
          <w:lang w:val="es-MX"/>
        </w:rPr>
        <w:t xml:space="preserve">de </w:t>
      </w:r>
      <w:r w:rsidRPr="00933AC3">
        <w:rPr>
          <w:rFonts w:ascii="Futura Lt BT" w:eastAsia="Calibri" w:hAnsi="Futura Lt BT" w:cs="Courier New"/>
          <w:sz w:val="24"/>
          <w:szCs w:val="24"/>
          <w:lang w:val="es-MX"/>
        </w:rPr>
        <w:t>202</w:t>
      </w:r>
      <w:r w:rsidR="00635ABB" w:rsidRPr="00933AC3">
        <w:rPr>
          <w:rFonts w:ascii="Futura Lt BT" w:eastAsia="Calibri" w:hAnsi="Futura Lt BT" w:cs="Courier New"/>
          <w:sz w:val="24"/>
          <w:szCs w:val="24"/>
          <w:lang w:val="es-MX"/>
        </w:rPr>
        <w:t>3</w:t>
      </w:r>
      <w:r w:rsidRPr="00933AC3">
        <w:rPr>
          <w:rFonts w:ascii="Futura Lt BT" w:eastAsia="Calibri" w:hAnsi="Futura Lt BT" w:cs="Courier New"/>
          <w:sz w:val="24"/>
          <w:szCs w:val="24"/>
          <w:lang w:val="es-MX"/>
        </w:rPr>
        <w:t xml:space="preserve"> (US$2,</w:t>
      </w:r>
      <w:r w:rsidR="0013134E" w:rsidRPr="00933AC3">
        <w:rPr>
          <w:rFonts w:ascii="Futura Lt BT" w:eastAsia="Calibri" w:hAnsi="Futura Lt BT" w:cs="Courier New"/>
          <w:sz w:val="24"/>
          <w:szCs w:val="24"/>
          <w:lang w:val="es-MX"/>
        </w:rPr>
        <w:t>347</w:t>
      </w:r>
      <w:r w:rsidRPr="00933AC3">
        <w:rPr>
          <w:rFonts w:ascii="Futura Lt BT" w:eastAsia="Calibri" w:hAnsi="Futura Lt BT" w:cs="Courier New"/>
          <w:sz w:val="24"/>
          <w:szCs w:val="24"/>
          <w:lang w:val="es-MX"/>
        </w:rPr>
        <w:t>.</w:t>
      </w:r>
      <w:r w:rsidR="0013134E" w:rsidRPr="00933AC3">
        <w:rPr>
          <w:rFonts w:ascii="Futura Lt BT" w:eastAsia="Calibri" w:hAnsi="Futura Lt BT" w:cs="Courier New"/>
          <w:sz w:val="24"/>
          <w:szCs w:val="24"/>
          <w:lang w:val="es-MX"/>
        </w:rPr>
        <w:t>0</w:t>
      </w:r>
      <w:r w:rsidRPr="00933AC3">
        <w:rPr>
          <w:rFonts w:ascii="Futura Lt BT" w:eastAsia="Calibri" w:hAnsi="Futura Lt BT" w:cs="Courier New"/>
          <w:sz w:val="24"/>
          <w:szCs w:val="24"/>
          <w:lang w:val="es-MX"/>
        </w:rPr>
        <w:t xml:space="preserve"> millones)</w:t>
      </w:r>
      <w:r w:rsidR="00F37BA1" w:rsidRPr="00933AC3">
        <w:rPr>
          <w:rFonts w:ascii="Futura Lt BT" w:eastAsia="Calibri" w:hAnsi="Futura Lt BT" w:cs="Courier New"/>
          <w:sz w:val="24"/>
          <w:szCs w:val="24"/>
          <w:lang w:val="es-MX"/>
        </w:rPr>
        <w:t xml:space="preserve">, derivado principalmente </w:t>
      </w:r>
      <w:r w:rsidR="00830EE4" w:rsidRPr="00933AC3">
        <w:rPr>
          <w:rFonts w:ascii="Futura Lt BT" w:eastAsia="Calibri" w:hAnsi="Futura Lt BT" w:cs="Courier New"/>
          <w:sz w:val="24"/>
          <w:szCs w:val="24"/>
          <w:lang w:val="es-MX"/>
        </w:rPr>
        <w:t>de</w:t>
      </w:r>
      <w:r w:rsidR="00103C2D" w:rsidRPr="00933AC3">
        <w:rPr>
          <w:rFonts w:ascii="Futura Lt BT" w:eastAsia="Calibri" w:hAnsi="Futura Lt BT" w:cs="Courier New"/>
          <w:sz w:val="24"/>
          <w:szCs w:val="24"/>
          <w:lang w:val="es-MX"/>
        </w:rPr>
        <w:t xml:space="preserve">l </w:t>
      </w:r>
      <w:r w:rsidR="00F37BA1" w:rsidRPr="00933AC3">
        <w:rPr>
          <w:rFonts w:ascii="Futura Lt BT" w:eastAsia="Calibri" w:hAnsi="Futura Lt BT" w:cs="Courier New"/>
          <w:sz w:val="24"/>
          <w:szCs w:val="24"/>
          <w:lang w:val="es-MX"/>
        </w:rPr>
        <w:t xml:space="preserve">aumento de las importaciones de </w:t>
      </w:r>
      <w:r w:rsidR="0013134E" w:rsidRPr="00933AC3">
        <w:rPr>
          <w:rFonts w:ascii="Futura Lt BT" w:eastAsia="Calibri" w:hAnsi="Futura Lt BT" w:cs="Courier New"/>
          <w:sz w:val="24"/>
          <w:szCs w:val="24"/>
          <w:lang w:val="es-MX"/>
        </w:rPr>
        <w:t>bienes de capital</w:t>
      </w:r>
      <w:r w:rsidR="00F37BA1" w:rsidRPr="00933AC3">
        <w:rPr>
          <w:rFonts w:ascii="Futura Lt BT" w:eastAsia="Calibri" w:hAnsi="Futura Lt BT" w:cs="Courier New"/>
          <w:sz w:val="24"/>
          <w:szCs w:val="24"/>
          <w:lang w:val="es-MX"/>
        </w:rPr>
        <w:t xml:space="preserve"> (</w:t>
      </w:r>
      <w:r w:rsidR="0013134E" w:rsidRPr="00933AC3">
        <w:rPr>
          <w:rFonts w:ascii="Futura Lt BT" w:eastAsia="Calibri" w:hAnsi="Futura Lt BT" w:cs="Courier New"/>
          <w:sz w:val="24"/>
          <w:szCs w:val="24"/>
          <w:lang w:val="es-MX"/>
        </w:rPr>
        <w:t>34</w:t>
      </w:r>
      <w:r w:rsidR="00F37BA1" w:rsidRPr="00933AC3">
        <w:rPr>
          <w:rFonts w:ascii="Futura Lt BT" w:eastAsia="Calibri" w:hAnsi="Futura Lt BT" w:cs="Courier New"/>
          <w:sz w:val="24"/>
          <w:szCs w:val="24"/>
          <w:lang w:val="es-MX"/>
        </w:rPr>
        <w:t>.</w:t>
      </w:r>
      <w:r w:rsidR="0013134E" w:rsidRPr="00933AC3">
        <w:rPr>
          <w:rFonts w:ascii="Futura Lt BT" w:eastAsia="Calibri" w:hAnsi="Futura Lt BT" w:cs="Courier New"/>
          <w:sz w:val="24"/>
          <w:szCs w:val="24"/>
          <w:lang w:val="es-MX"/>
        </w:rPr>
        <w:t>3</w:t>
      </w:r>
      <w:r w:rsidR="00F37BA1" w:rsidRPr="00933AC3">
        <w:rPr>
          <w:rFonts w:ascii="Futura Lt BT" w:eastAsia="Calibri" w:hAnsi="Futura Lt BT" w:cs="Courier New"/>
          <w:sz w:val="24"/>
          <w:szCs w:val="24"/>
          <w:lang w:val="es-MX"/>
        </w:rPr>
        <w:t xml:space="preserve">%), </w:t>
      </w:r>
      <w:r w:rsidR="00830EE4" w:rsidRPr="00933AC3">
        <w:rPr>
          <w:rFonts w:ascii="Futura Lt BT" w:eastAsia="Calibri" w:hAnsi="Futura Lt BT" w:cs="Courier New"/>
          <w:sz w:val="24"/>
          <w:szCs w:val="24"/>
          <w:lang w:val="es-MX"/>
        </w:rPr>
        <w:t xml:space="preserve">la factura petrolera (14.6%) </w:t>
      </w:r>
      <w:r w:rsidR="00635ABB" w:rsidRPr="00933AC3">
        <w:rPr>
          <w:rFonts w:ascii="Futura Lt BT" w:eastAsia="Calibri" w:hAnsi="Futura Lt BT" w:cs="Courier New"/>
          <w:sz w:val="24"/>
          <w:szCs w:val="24"/>
          <w:lang w:val="es-MX"/>
        </w:rPr>
        <w:t xml:space="preserve">y bienes de </w:t>
      </w:r>
      <w:r w:rsidR="0013134E" w:rsidRPr="00933AC3">
        <w:rPr>
          <w:rFonts w:ascii="Futura Lt BT" w:eastAsia="Calibri" w:hAnsi="Futura Lt BT" w:cs="Courier New"/>
          <w:sz w:val="24"/>
          <w:szCs w:val="24"/>
          <w:lang w:val="es-MX"/>
        </w:rPr>
        <w:t>consumo</w:t>
      </w:r>
      <w:r w:rsidR="00F37BA1" w:rsidRPr="00933AC3">
        <w:rPr>
          <w:rFonts w:ascii="Futura Lt BT" w:eastAsia="Calibri" w:hAnsi="Futura Lt BT" w:cs="Courier New"/>
          <w:sz w:val="24"/>
          <w:szCs w:val="24"/>
          <w:lang w:val="es-MX"/>
        </w:rPr>
        <w:t xml:space="preserve"> (</w:t>
      </w:r>
      <w:r w:rsidR="0013134E" w:rsidRPr="00933AC3">
        <w:rPr>
          <w:rFonts w:ascii="Futura Lt BT" w:eastAsia="Calibri" w:hAnsi="Futura Lt BT" w:cs="Courier New"/>
          <w:sz w:val="24"/>
          <w:szCs w:val="24"/>
          <w:lang w:val="es-MX"/>
        </w:rPr>
        <w:t>6</w:t>
      </w:r>
      <w:r w:rsidR="00F37BA1" w:rsidRPr="00933AC3">
        <w:rPr>
          <w:rFonts w:ascii="Futura Lt BT" w:eastAsia="Calibri" w:hAnsi="Futura Lt BT" w:cs="Courier New"/>
          <w:sz w:val="24"/>
          <w:szCs w:val="24"/>
          <w:lang w:val="es-MX"/>
        </w:rPr>
        <w:t>.</w:t>
      </w:r>
      <w:r w:rsidR="00635ABB" w:rsidRPr="00933AC3">
        <w:rPr>
          <w:rFonts w:ascii="Futura Lt BT" w:eastAsia="Calibri" w:hAnsi="Futura Lt BT" w:cs="Courier New"/>
          <w:sz w:val="24"/>
          <w:szCs w:val="24"/>
          <w:lang w:val="es-MX"/>
        </w:rPr>
        <w:t>6</w:t>
      </w:r>
      <w:r w:rsidR="00F37BA1" w:rsidRPr="00933AC3">
        <w:rPr>
          <w:rFonts w:ascii="Futura Lt BT" w:eastAsia="Calibri" w:hAnsi="Futura Lt BT" w:cs="Courier New"/>
          <w:sz w:val="24"/>
          <w:szCs w:val="24"/>
          <w:lang w:val="es-MX"/>
        </w:rPr>
        <w:t>%)</w:t>
      </w:r>
      <w:r w:rsidR="00635ABB" w:rsidRPr="00933AC3">
        <w:rPr>
          <w:rFonts w:ascii="Futura Lt BT" w:eastAsia="Calibri" w:hAnsi="Futura Lt BT" w:cs="Courier New"/>
          <w:sz w:val="24"/>
          <w:szCs w:val="24"/>
          <w:lang w:val="es-MX"/>
        </w:rPr>
        <w:t xml:space="preserve">. </w:t>
      </w:r>
      <w:r w:rsidR="00103C2D" w:rsidRPr="00933AC3">
        <w:rPr>
          <w:rFonts w:ascii="Futura Lt BT" w:eastAsia="Calibri" w:hAnsi="Futura Lt BT" w:cs="Courier New"/>
          <w:sz w:val="24"/>
          <w:szCs w:val="24"/>
          <w:lang w:val="es-MX"/>
        </w:rPr>
        <w:t>En términos generales, el aumento de las importaciones de bienes estuvo asociado</w:t>
      </w:r>
      <w:r w:rsidR="00830EE4" w:rsidRPr="00933AC3">
        <w:rPr>
          <w:rFonts w:ascii="Futura Lt BT" w:eastAsia="Calibri" w:hAnsi="Futura Lt BT" w:cs="Courier New"/>
          <w:sz w:val="24"/>
          <w:szCs w:val="24"/>
          <w:lang w:val="es-MX"/>
        </w:rPr>
        <w:t xml:space="preserve"> </w:t>
      </w:r>
      <w:r w:rsidR="00103C2D" w:rsidRPr="00933AC3">
        <w:rPr>
          <w:rFonts w:ascii="Futura Lt BT" w:eastAsia="Calibri" w:hAnsi="Futura Lt BT" w:cs="Courier New"/>
          <w:sz w:val="24"/>
          <w:szCs w:val="24"/>
          <w:lang w:val="es-MX"/>
        </w:rPr>
        <w:t xml:space="preserve">con </w:t>
      </w:r>
      <w:r w:rsidR="0092754F" w:rsidRPr="00933AC3">
        <w:rPr>
          <w:rFonts w:ascii="Futura Lt BT" w:eastAsia="Calibri" w:hAnsi="Futura Lt BT" w:cs="Courier New"/>
          <w:sz w:val="24"/>
          <w:szCs w:val="24"/>
          <w:lang w:val="es-MX"/>
        </w:rPr>
        <w:t>el aumento</w:t>
      </w:r>
      <w:r w:rsidRPr="00933AC3">
        <w:rPr>
          <w:rFonts w:ascii="Futura Lt BT" w:eastAsia="Calibri" w:hAnsi="Futura Lt BT" w:cs="Courier New"/>
          <w:sz w:val="24"/>
          <w:szCs w:val="24"/>
          <w:lang w:val="es-MX"/>
        </w:rPr>
        <w:t xml:space="preserve"> </w:t>
      </w:r>
      <w:r w:rsidR="00830EE4" w:rsidRPr="00933AC3">
        <w:rPr>
          <w:rFonts w:ascii="Futura Lt BT" w:eastAsia="Calibri" w:hAnsi="Futura Lt BT" w:cs="Courier New"/>
          <w:sz w:val="24"/>
          <w:szCs w:val="24"/>
          <w:lang w:val="es-MX"/>
        </w:rPr>
        <w:t>en los volúmenes importados (4.4%) y en</w:t>
      </w:r>
      <w:r w:rsidRPr="00933AC3">
        <w:rPr>
          <w:rFonts w:ascii="Futura Lt BT" w:eastAsia="Calibri" w:hAnsi="Futura Lt BT" w:cs="Courier New"/>
          <w:sz w:val="24"/>
          <w:szCs w:val="24"/>
          <w:lang w:val="es-MX"/>
        </w:rPr>
        <w:t xml:space="preserve"> </w:t>
      </w:r>
      <w:r w:rsidR="00830EE4" w:rsidRPr="00933AC3">
        <w:rPr>
          <w:rFonts w:ascii="Futura Lt BT" w:eastAsia="Calibri" w:hAnsi="Futura Lt BT" w:cs="Courier New"/>
          <w:sz w:val="24"/>
          <w:szCs w:val="24"/>
          <w:lang w:val="es-MX"/>
        </w:rPr>
        <w:t>los precios promedio contratados (2.0%)</w:t>
      </w:r>
      <w:r w:rsidRPr="00933AC3">
        <w:rPr>
          <w:rFonts w:ascii="Futura Lt BT" w:eastAsia="Calibri" w:hAnsi="Futura Lt BT" w:cs="Courier New"/>
          <w:sz w:val="24"/>
          <w:szCs w:val="24"/>
          <w:lang w:val="es-MX"/>
        </w:rPr>
        <w:t xml:space="preserve">. En el aumento de las importaciones de </w:t>
      </w:r>
      <w:r w:rsidR="002E2F75" w:rsidRPr="00933AC3">
        <w:rPr>
          <w:rFonts w:ascii="Futura Lt BT" w:eastAsia="Calibri" w:hAnsi="Futura Lt BT" w:cs="Courier New"/>
          <w:sz w:val="24"/>
          <w:szCs w:val="24"/>
          <w:lang w:val="es-MX"/>
        </w:rPr>
        <w:t>bienes de capital</w:t>
      </w:r>
      <w:r w:rsidRPr="00933AC3">
        <w:rPr>
          <w:rFonts w:ascii="Futura Lt BT" w:eastAsia="Calibri" w:hAnsi="Futura Lt BT" w:cs="Courier New"/>
          <w:sz w:val="24"/>
          <w:szCs w:val="24"/>
          <w:lang w:val="es-MX"/>
        </w:rPr>
        <w:t xml:space="preserve"> destacó la mayor adquisición </w:t>
      </w:r>
      <w:r w:rsidR="002E2F75" w:rsidRPr="00933AC3">
        <w:rPr>
          <w:rFonts w:ascii="Futura Lt BT" w:eastAsia="Calibri" w:hAnsi="Futura Lt BT" w:cs="Courier New"/>
          <w:sz w:val="24"/>
          <w:szCs w:val="24"/>
          <w:lang w:val="es-MX"/>
        </w:rPr>
        <w:t>de equipo de transporte</w:t>
      </w:r>
      <w:r w:rsidR="00F012A2" w:rsidRPr="00933AC3">
        <w:rPr>
          <w:rFonts w:ascii="Futura Lt BT" w:eastAsia="Calibri" w:hAnsi="Futura Lt BT" w:cs="Courier New"/>
          <w:sz w:val="24"/>
          <w:szCs w:val="24"/>
          <w:lang w:val="es-MX"/>
        </w:rPr>
        <w:t xml:space="preserve"> (</w:t>
      </w:r>
      <w:r w:rsidR="00AA166C" w:rsidRPr="00933AC3">
        <w:rPr>
          <w:rFonts w:ascii="Futura Lt BT" w:eastAsia="Calibri" w:hAnsi="Futura Lt BT" w:cs="Courier New"/>
          <w:sz w:val="24"/>
          <w:szCs w:val="24"/>
          <w:lang w:val="es-MX"/>
        </w:rPr>
        <w:t>55</w:t>
      </w:r>
      <w:r w:rsidR="002E2F75" w:rsidRPr="00933AC3">
        <w:rPr>
          <w:rFonts w:ascii="Futura Lt BT" w:eastAsia="Calibri" w:hAnsi="Futura Lt BT" w:cs="Courier New"/>
          <w:sz w:val="24"/>
          <w:szCs w:val="24"/>
          <w:lang w:val="es-MX"/>
        </w:rPr>
        <w:t>.</w:t>
      </w:r>
      <w:r w:rsidR="00AA166C" w:rsidRPr="00933AC3">
        <w:rPr>
          <w:rFonts w:ascii="Futura Lt BT" w:eastAsia="Calibri" w:hAnsi="Futura Lt BT" w:cs="Courier New"/>
          <w:sz w:val="24"/>
          <w:szCs w:val="24"/>
          <w:lang w:val="es-MX"/>
        </w:rPr>
        <w:t>0</w:t>
      </w:r>
      <w:r w:rsidR="002E2F75" w:rsidRPr="00933AC3">
        <w:rPr>
          <w:rFonts w:ascii="Futura Lt BT" w:eastAsia="Calibri" w:hAnsi="Futura Lt BT" w:cs="Courier New"/>
          <w:sz w:val="24"/>
          <w:szCs w:val="24"/>
          <w:lang w:val="es-MX"/>
        </w:rPr>
        <w:t>%</w:t>
      </w:r>
      <w:r w:rsidR="00F012A2" w:rsidRPr="00933AC3">
        <w:rPr>
          <w:rFonts w:ascii="Futura Lt BT" w:eastAsia="Calibri" w:hAnsi="Futura Lt BT" w:cs="Courier New"/>
          <w:sz w:val="24"/>
          <w:szCs w:val="24"/>
          <w:lang w:val="es-MX"/>
        </w:rPr>
        <w:t xml:space="preserve">), </w:t>
      </w:r>
      <w:r w:rsidR="002E2F75" w:rsidRPr="00933AC3">
        <w:rPr>
          <w:rFonts w:ascii="Futura Lt BT" w:eastAsia="Calibri" w:hAnsi="Futura Lt BT" w:cs="Courier New"/>
          <w:sz w:val="24"/>
          <w:szCs w:val="24"/>
          <w:lang w:val="es-MX"/>
        </w:rPr>
        <w:t>bienes para la agricultura</w:t>
      </w:r>
      <w:r w:rsidR="003E33E1" w:rsidRPr="00933AC3">
        <w:rPr>
          <w:rFonts w:ascii="Futura Lt BT" w:eastAsia="Calibri" w:hAnsi="Futura Lt BT" w:cs="Courier New"/>
          <w:sz w:val="24"/>
          <w:szCs w:val="24"/>
          <w:lang w:val="es-MX"/>
        </w:rPr>
        <w:t xml:space="preserve"> (</w:t>
      </w:r>
      <w:r w:rsidR="00AA166C" w:rsidRPr="00933AC3">
        <w:rPr>
          <w:rFonts w:ascii="Futura Lt BT" w:eastAsia="Calibri" w:hAnsi="Futura Lt BT" w:cs="Courier New"/>
          <w:sz w:val="24"/>
          <w:szCs w:val="24"/>
          <w:lang w:val="es-MX"/>
        </w:rPr>
        <w:t>36.5</w:t>
      </w:r>
      <w:r w:rsidR="003E33E1" w:rsidRPr="00933AC3">
        <w:rPr>
          <w:rFonts w:ascii="Futura Lt BT" w:eastAsia="Calibri" w:hAnsi="Futura Lt BT" w:cs="Courier New"/>
          <w:sz w:val="24"/>
          <w:szCs w:val="24"/>
          <w:lang w:val="es-MX"/>
        </w:rPr>
        <w:t>%)</w:t>
      </w:r>
      <w:r w:rsidRPr="00933AC3">
        <w:rPr>
          <w:rFonts w:ascii="Futura Lt BT" w:eastAsia="Calibri" w:hAnsi="Futura Lt BT" w:cs="Courier New"/>
          <w:sz w:val="24"/>
          <w:szCs w:val="24"/>
          <w:lang w:val="es-MX"/>
        </w:rPr>
        <w:t xml:space="preserve">, y </w:t>
      </w:r>
      <w:r w:rsidR="002E2F75" w:rsidRPr="00933AC3">
        <w:rPr>
          <w:rFonts w:ascii="Futura Lt BT" w:eastAsia="Calibri" w:hAnsi="Futura Lt BT" w:cs="Courier New"/>
          <w:sz w:val="24"/>
          <w:szCs w:val="24"/>
          <w:lang w:val="es-MX"/>
        </w:rPr>
        <w:t>bienes para la industria</w:t>
      </w:r>
      <w:r w:rsidRPr="00933AC3">
        <w:rPr>
          <w:rFonts w:ascii="Futura Lt BT" w:eastAsia="Calibri" w:hAnsi="Futura Lt BT" w:cs="Courier New"/>
          <w:sz w:val="24"/>
          <w:szCs w:val="24"/>
          <w:lang w:val="es-MX"/>
        </w:rPr>
        <w:t xml:space="preserve"> (</w:t>
      </w:r>
      <w:r w:rsidR="002E2F75" w:rsidRPr="00933AC3">
        <w:rPr>
          <w:rFonts w:ascii="Futura Lt BT" w:eastAsia="Calibri" w:hAnsi="Futura Lt BT" w:cs="Courier New"/>
          <w:sz w:val="24"/>
          <w:szCs w:val="24"/>
          <w:lang w:val="es-MX"/>
        </w:rPr>
        <w:t>8.</w:t>
      </w:r>
      <w:r w:rsidR="00F012A2" w:rsidRPr="00933AC3">
        <w:rPr>
          <w:rFonts w:ascii="Futura Lt BT" w:eastAsia="Calibri" w:hAnsi="Futura Lt BT" w:cs="Courier New"/>
          <w:sz w:val="24"/>
          <w:szCs w:val="24"/>
          <w:lang w:val="es-MX"/>
        </w:rPr>
        <w:t>1</w:t>
      </w:r>
      <w:r w:rsidRPr="00933AC3">
        <w:rPr>
          <w:rFonts w:ascii="Futura Lt BT" w:eastAsia="Calibri" w:hAnsi="Futura Lt BT" w:cs="Courier New"/>
          <w:sz w:val="24"/>
          <w:szCs w:val="24"/>
          <w:lang w:val="es-MX"/>
        </w:rPr>
        <w:t>%).</w:t>
      </w:r>
      <w:r w:rsidR="00895612" w:rsidRPr="00933AC3">
        <w:rPr>
          <w:rFonts w:ascii="Futura Lt BT" w:eastAsia="Calibri" w:hAnsi="Futura Lt BT" w:cs="Courier New"/>
          <w:sz w:val="24"/>
          <w:szCs w:val="24"/>
          <w:lang w:val="es-MX"/>
        </w:rPr>
        <w:t xml:space="preserve"> </w:t>
      </w:r>
      <w:r w:rsidR="00A451C3">
        <w:rPr>
          <w:rFonts w:ascii="Futura Lt BT" w:eastAsia="Calibri" w:hAnsi="Futura Lt BT" w:cs="Courier New"/>
          <w:sz w:val="24"/>
          <w:szCs w:val="24"/>
          <w:lang w:val="es-MX"/>
        </w:rPr>
        <w:t>Por su parte, l</w:t>
      </w:r>
      <w:r w:rsidR="002960C4" w:rsidRPr="00933AC3">
        <w:rPr>
          <w:rFonts w:ascii="Futura Lt BT" w:eastAsia="Calibri" w:hAnsi="Futura Lt BT" w:cs="Courier New"/>
          <w:sz w:val="24"/>
          <w:szCs w:val="24"/>
          <w:lang w:val="es-MX"/>
        </w:rPr>
        <w:t xml:space="preserve">as importaciones de servicios </w:t>
      </w:r>
      <w:r w:rsidR="00A451C3">
        <w:rPr>
          <w:rFonts w:ascii="Futura Lt BT" w:eastAsia="Calibri" w:hAnsi="Futura Lt BT" w:cs="Courier New"/>
          <w:sz w:val="24"/>
          <w:szCs w:val="24"/>
          <w:lang w:val="es-MX"/>
        </w:rPr>
        <w:t xml:space="preserve">en el trimestre </w:t>
      </w:r>
      <w:r w:rsidR="002960C4" w:rsidRPr="00933AC3">
        <w:rPr>
          <w:rFonts w:ascii="Futura Lt BT" w:eastAsia="Calibri" w:hAnsi="Futura Lt BT" w:cs="Courier New"/>
          <w:sz w:val="24"/>
          <w:szCs w:val="24"/>
          <w:lang w:val="es-MX"/>
        </w:rPr>
        <w:t xml:space="preserve">totalizaron 306.7 millones de dólares, registrando un aumento interanual de 13.7 por ciento (US$269.8 millones en II trimestre 2023), </w:t>
      </w:r>
      <w:r w:rsidR="007D6691">
        <w:rPr>
          <w:rFonts w:ascii="Futura Lt BT" w:hAnsi="Futura Lt BT" w:cs="Courier New"/>
          <w:sz w:val="24"/>
          <w:szCs w:val="24"/>
          <w:lang w:val="es-MX"/>
        </w:rPr>
        <w:t xml:space="preserve">debido principalmente al aumento de 8.3 por ciento en los servicios de transporte de carga y pasajeros (US$335.4), así </w:t>
      </w:r>
      <w:r w:rsidR="002960C4" w:rsidRPr="00933AC3">
        <w:rPr>
          <w:rFonts w:ascii="Futura Lt BT" w:eastAsia="Calibri" w:hAnsi="Futura Lt BT" w:cs="Courier New"/>
          <w:sz w:val="24"/>
          <w:szCs w:val="24"/>
          <w:lang w:val="es-MX"/>
        </w:rPr>
        <w:t xml:space="preserve">como </w:t>
      </w:r>
      <w:r w:rsidR="007D6691">
        <w:rPr>
          <w:rFonts w:ascii="Futura Lt BT" w:eastAsia="Calibri" w:hAnsi="Futura Lt BT" w:cs="Courier New"/>
          <w:sz w:val="24"/>
          <w:szCs w:val="24"/>
          <w:lang w:val="es-MX"/>
        </w:rPr>
        <w:t xml:space="preserve">por </w:t>
      </w:r>
      <w:r w:rsidR="002960C4" w:rsidRPr="00933AC3">
        <w:rPr>
          <w:rFonts w:ascii="Futura Lt BT" w:eastAsia="Calibri" w:hAnsi="Futura Lt BT" w:cs="Courier New"/>
          <w:sz w:val="24"/>
          <w:szCs w:val="24"/>
          <w:lang w:val="es-MX"/>
        </w:rPr>
        <w:t>mayores gastos del turismo de residentes en el exterior (49.2%), principalmente.</w:t>
      </w:r>
    </w:p>
    <w:p w:rsidR="00933AC3" w:rsidRPr="00933AC3" w:rsidRDefault="00933AC3" w:rsidP="00933AC3">
      <w:pPr>
        <w:spacing w:line="276" w:lineRule="auto"/>
        <w:jc w:val="both"/>
        <w:rPr>
          <w:rFonts w:ascii="Futura Lt BT" w:eastAsia="Calibri" w:hAnsi="Futura Lt BT" w:cs="Courier New"/>
          <w:sz w:val="24"/>
          <w:szCs w:val="24"/>
          <w:lang w:val="es-MX"/>
        </w:rPr>
      </w:pPr>
      <w:r w:rsidRPr="00933AC3">
        <w:rPr>
          <w:rFonts w:ascii="Futura Lt BT" w:eastAsia="Calibri" w:hAnsi="Futura Lt BT" w:cs="Courier New"/>
          <w:sz w:val="24"/>
          <w:szCs w:val="24"/>
          <w:lang w:val="es-MX"/>
        </w:rPr>
        <w:t xml:space="preserve">En términos acumulados, las </w:t>
      </w:r>
      <w:r>
        <w:rPr>
          <w:rFonts w:ascii="Futura Lt BT" w:eastAsia="Calibri" w:hAnsi="Futura Lt BT" w:cs="Courier New"/>
          <w:sz w:val="24"/>
          <w:szCs w:val="24"/>
          <w:lang w:val="es-MX"/>
        </w:rPr>
        <w:t>im</w:t>
      </w:r>
      <w:r w:rsidRPr="00933AC3">
        <w:rPr>
          <w:rFonts w:ascii="Futura Lt BT" w:eastAsia="Calibri" w:hAnsi="Futura Lt BT" w:cs="Courier New"/>
          <w:sz w:val="24"/>
          <w:szCs w:val="24"/>
          <w:lang w:val="es-MX"/>
        </w:rPr>
        <w:t xml:space="preserve">portaciones de bienes totalizaron </w:t>
      </w:r>
      <w:r>
        <w:rPr>
          <w:rFonts w:ascii="Futura Lt BT" w:eastAsia="Calibri" w:hAnsi="Futura Lt BT" w:cs="Courier New"/>
          <w:sz w:val="24"/>
          <w:szCs w:val="24"/>
          <w:lang w:val="es-MX"/>
        </w:rPr>
        <w:t>4,879.3</w:t>
      </w:r>
      <w:r w:rsidRPr="00933AC3">
        <w:rPr>
          <w:rFonts w:ascii="Futura Lt BT" w:eastAsia="Calibri" w:hAnsi="Futura Lt BT" w:cs="Courier New"/>
          <w:sz w:val="24"/>
          <w:szCs w:val="24"/>
          <w:lang w:val="es-MX"/>
        </w:rPr>
        <w:t xml:space="preserve"> millones de dólares, </w:t>
      </w:r>
      <w:r w:rsidR="00A451C3">
        <w:rPr>
          <w:rFonts w:ascii="Futura Lt BT" w:eastAsia="Calibri" w:hAnsi="Futura Lt BT" w:cs="Courier New"/>
          <w:sz w:val="24"/>
          <w:szCs w:val="24"/>
          <w:lang w:val="es-MX"/>
        </w:rPr>
        <w:t xml:space="preserve">para </w:t>
      </w:r>
      <w:r w:rsidRPr="00933AC3">
        <w:rPr>
          <w:rFonts w:ascii="Futura Lt BT" w:eastAsia="Calibri" w:hAnsi="Futura Lt BT" w:cs="Courier New"/>
          <w:sz w:val="24"/>
          <w:szCs w:val="24"/>
          <w:lang w:val="es-MX"/>
        </w:rPr>
        <w:t xml:space="preserve">un </w:t>
      </w:r>
      <w:r>
        <w:rPr>
          <w:rFonts w:ascii="Futura Lt BT" w:eastAsia="Calibri" w:hAnsi="Futura Lt BT" w:cs="Courier New"/>
          <w:sz w:val="24"/>
          <w:szCs w:val="24"/>
          <w:lang w:val="es-MX"/>
        </w:rPr>
        <w:t>incremento</w:t>
      </w:r>
      <w:r w:rsidRPr="00933AC3">
        <w:rPr>
          <w:rFonts w:ascii="Futura Lt BT" w:eastAsia="Calibri" w:hAnsi="Futura Lt BT" w:cs="Courier New"/>
          <w:sz w:val="24"/>
          <w:szCs w:val="24"/>
          <w:lang w:val="es-MX"/>
        </w:rPr>
        <w:t xml:space="preserve"> de </w:t>
      </w:r>
      <w:r>
        <w:rPr>
          <w:rFonts w:ascii="Futura Lt BT" w:eastAsia="Calibri" w:hAnsi="Futura Lt BT" w:cs="Courier New"/>
          <w:sz w:val="24"/>
          <w:szCs w:val="24"/>
          <w:lang w:val="es-MX"/>
        </w:rPr>
        <w:t>9.3</w:t>
      </w:r>
      <w:r w:rsidRPr="00933AC3">
        <w:rPr>
          <w:rFonts w:ascii="Futura Lt BT" w:eastAsia="Calibri" w:hAnsi="Futura Lt BT" w:cs="Courier New"/>
          <w:sz w:val="24"/>
          <w:szCs w:val="24"/>
          <w:lang w:val="es-MX"/>
        </w:rPr>
        <w:t xml:space="preserve"> por ciento con respecto igual período del año pasado; en tanto, las </w:t>
      </w:r>
      <w:r>
        <w:rPr>
          <w:rFonts w:ascii="Futura Lt BT" w:eastAsia="Calibri" w:hAnsi="Futura Lt BT" w:cs="Courier New"/>
          <w:sz w:val="24"/>
          <w:szCs w:val="24"/>
          <w:lang w:val="es-MX"/>
        </w:rPr>
        <w:t>im</w:t>
      </w:r>
      <w:r w:rsidRPr="00933AC3">
        <w:rPr>
          <w:rFonts w:ascii="Futura Lt BT" w:eastAsia="Calibri" w:hAnsi="Futura Lt BT" w:cs="Courier New"/>
          <w:sz w:val="24"/>
          <w:szCs w:val="24"/>
          <w:lang w:val="es-MX"/>
        </w:rPr>
        <w:t>portaciones de servicios sumaron 6</w:t>
      </w:r>
      <w:r>
        <w:rPr>
          <w:rFonts w:ascii="Futura Lt BT" w:eastAsia="Calibri" w:hAnsi="Futura Lt BT" w:cs="Courier New"/>
          <w:sz w:val="24"/>
          <w:szCs w:val="24"/>
          <w:lang w:val="es-MX"/>
        </w:rPr>
        <w:t>0</w:t>
      </w:r>
      <w:r w:rsidRPr="00933AC3">
        <w:rPr>
          <w:rFonts w:ascii="Futura Lt BT" w:eastAsia="Calibri" w:hAnsi="Futura Lt BT" w:cs="Courier New"/>
          <w:sz w:val="24"/>
          <w:szCs w:val="24"/>
          <w:lang w:val="es-MX"/>
        </w:rPr>
        <w:t xml:space="preserve">2.0 millones de dólares, reflejando un </w:t>
      </w:r>
      <w:r>
        <w:rPr>
          <w:rFonts w:ascii="Futura Lt BT" w:eastAsia="Calibri" w:hAnsi="Futura Lt BT" w:cs="Courier New"/>
          <w:sz w:val="24"/>
          <w:szCs w:val="24"/>
          <w:lang w:val="es-MX"/>
        </w:rPr>
        <w:t>incremento</w:t>
      </w:r>
      <w:r w:rsidRPr="00933AC3">
        <w:rPr>
          <w:rFonts w:ascii="Futura Lt BT" w:eastAsia="Calibri" w:hAnsi="Futura Lt BT" w:cs="Courier New"/>
          <w:sz w:val="24"/>
          <w:szCs w:val="24"/>
          <w:lang w:val="es-MX"/>
        </w:rPr>
        <w:t xml:space="preserve"> interanual de </w:t>
      </w:r>
      <w:r>
        <w:rPr>
          <w:rFonts w:ascii="Futura Lt BT" w:eastAsia="Calibri" w:hAnsi="Futura Lt BT" w:cs="Courier New"/>
          <w:sz w:val="24"/>
          <w:szCs w:val="24"/>
          <w:lang w:val="es-MX"/>
        </w:rPr>
        <w:t>15.1</w:t>
      </w:r>
      <w:r w:rsidRPr="00933AC3">
        <w:rPr>
          <w:rFonts w:ascii="Futura Lt BT" w:eastAsia="Calibri" w:hAnsi="Futura Lt BT" w:cs="Courier New"/>
          <w:sz w:val="24"/>
          <w:szCs w:val="24"/>
          <w:lang w:val="es-MX"/>
        </w:rPr>
        <w:t xml:space="preserve"> por ciento.</w:t>
      </w:r>
    </w:p>
    <w:p w:rsidR="009302EE" w:rsidRDefault="00891BD9" w:rsidP="00D86268">
      <w:pPr>
        <w:spacing w:after="0" w:line="276" w:lineRule="auto"/>
        <w:jc w:val="both"/>
        <w:rPr>
          <w:rFonts w:ascii="Futura Lt BT" w:hAnsi="Futura Lt BT" w:cs="Courier New"/>
          <w:sz w:val="24"/>
          <w:szCs w:val="24"/>
          <w:lang w:val="es-MX"/>
        </w:rPr>
      </w:pPr>
      <w:r w:rsidRPr="0024442F">
        <w:rPr>
          <w:noProof/>
        </w:rPr>
        <w:drawing>
          <wp:anchor distT="0" distB="0" distL="114300" distR="114300" simplePos="0" relativeHeight="251852800" behindDoc="0" locked="0" layoutInCell="1" allowOverlap="1">
            <wp:simplePos x="0" y="0"/>
            <wp:positionH relativeFrom="margin">
              <wp:align>right</wp:align>
            </wp:positionH>
            <wp:positionV relativeFrom="paragraph">
              <wp:posOffset>124876</wp:posOffset>
            </wp:positionV>
            <wp:extent cx="2644419" cy="2281237"/>
            <wp:effectExtent l="0" t="0" r="0"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4419" cy="2281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42F" w:rsidRPr="0024442F">
        <w:rPr>
          <w:noProof/>
        </w:rPr>
        <w:drawing>
          <wp:anchor distT="0" distB="0" distL="114300" distR="114300" simplePos="0" relativeHeight="251851776" behindDoc="0" locked="0" layoutInCell="1" allowOverlap="1">
            <wp:simplePos x="0" y="0"/>
            <wp:positionH relativeFrom="column">
              <wp:posOffset>43815</wp:posOffset>
            </wp:positionH>
            <wp:positionV relativeFrom="paragraph">
              <wp:posOffset>53491</wp:posOffset>
            </wp:positionV>
            <wp:extent cx="2867025" cy="255325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7025" cy="25532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5612" w:rsidRDefault="00895612" w:rsidP="00D86268">
      <w:pPr>
        <w:spacing w:after="0" w:line="276" w:lineRule="auto"/>
        <w:jc w:val="both"/>
        <w:rPr>
          <w:rFonts w:ascii="Futura Lt BT" w:hAnsi="Futura Lt BT" w:cs="Courier New"/>
          <w:sz w:val="24"/>
          <w:szCs w:val="24"/>
          <w:lang w:val="es-MX"/>
        </w:rPr>
      </w:pPr>
    </w:p>
    <w:p w:rsidR="005C2B12" w:rsidRDefault="00635ABB" w:rsidP="00D86268">
      <w:pPr>
        <w:spacing w:after="0" w:line="276" w:lineRule="auto"/>
        <w:jc w:val="both"/>
        <w:rPr>
          <w:rFonts w:ascii="Futura Lt BT" w:hAnsi="Futura Lt BT" w:cs="Courier New"/>
          <w:sz w:val="24"/>
          <w:szCs w:val="24"/>
          <w:lang w:val="es-MX"/>
        </w:rPr>
      </w:pPr>
      <w:r w:rsidRPr="00635ABB">
        <w:rPr>
          <w:rFonts w:ascii="Futura Lt BT" w:hAnsi="Futura Lt BT" w:cs="Courier New"/>
          <w:sz w:val="24"/>
          <w:szCs w:val="24"/>
          <w:lang w:val="es-MX"/>
        </w:rPr>
        <w:t xml:space="preserve"> </w:t>
      </w:r>
    </w:p>
    <w:p w:rsidR="00635ABB" w:rsidRDefault="00635ABB" w:rsidP="005C2B12">
      <w:pPr>
        <w:spacing w:after="0" w:line="276" w:lineRule="auto"/>
        <w:jc w:val="both"/>
        <w:rPr>
          <w:rFonts w:ascii="Futura Lt BT" w:hAnsi="Futura Lt BT" w:cs="Courier New"/>
          <w:sz w:val="24"/>
          <w:szCs w:val="24"/>
          <w:lang w:val="es-MX"/>
        </w:rPr>
      </w:pPr>
      <w:bookmarkStart w:id="8" w:name="_Hlk140141456"/>
    </w:p>
    <w:p w:rsidR="00635ABB" w:rsidRDefault="00635ABB" w:rsidP="005C2B12">
      <w:pPr>
        <w:spacing w:after="0" w:line="276" w:lineRule="auto"/>
        <w:jc w:val="both"/>
        <w:rPr>
          <w:rFonts w:ascii="Futura Lt BT" w:hAnsi="Futura Lt BT" w:cs="Courier New"/>
          <w:sz w:val="24"/>
          <w:szCs w:val="24"/>
          <w:lang w:val="es-MX"/>
        </w:rPr>
      </w:pPr>
    </w:p>
    <w:p w:rsidR="00635ABB" w:rsidRDefault="00635ABB" w:rsidP="005C2B12">
      <w:pPr>
        <w:spacing w:after="0" w:line="276" w:lineRule="auto"/>
        <w:jc w:val="both"/>
        <w:rPr>
          <w:rFonts w:ascii="Futura Lt BT" w:hAnsi="Futura Lt BT" w:cs="Courier New"/>
          <w:sz w:val="24"/>
          <w:szCs w:val="24"/>
          <w:lang w:val="es-MX"/>
        </w:rPr>
      </w:pPr>
    </w:p>
    <w:p w:rsidR="00635ABB" w:rsidRDefault="00635ABB" w:rsidP="005C2B12">
      <w:pPr>
        <w:spacing w:after="0" w:line="276" w:lineRule="auto"/>
        <w:jc w:val="both"/>
        <w:rPr>
          <w:rFonts w:ascii="Futura Lt BT" w:hAnsi="Futura Lt BT" w:cs="Courier New"/>
          <w:sz w:val="24"/>
          <w:szCs w:val="24"/>
          <w:lang w:val="es-MX"/>
        </w:rPr>
      </w:pPr>
    </w:p>
    <w:p w:rsidR="00635ABB" w:rsidRDefault="00635ABB" w:rsidP="005C2B12">
      <w:pPr>
        <w:spacing w:after="0" w:line="276" w:lineRule="auto"/>
        <w:jc w:val="both"/>
        <w:rPr>
          <w:rFonts w:ascii="Futura Lt BT" w:hAnsi="Futura Lt BT" w:cs="Courier New"/>
          <w:sz w:val="24"/>
          <w:szCs w:val="24"/>
          <w:lang w:val="es-MX"/>
        </w:rPr>
      </w:pPr>
    </w:p>
    <w:p w:rsidR="00635ABB" w:rsidRDefault="00635ABB" w:rsidP="005C2B12">
      <w:pPr>
        <w:spacing w:after="0" w:line="276" w:lineRule="auto"/>
        <w:jc w:val="both"/>
        <w:rPr>
          <w:rFonts w:ascii="Futura Lt BT" w:hAnsi="Futura Lt BT" w:cs="Courier New"/>
          <w:sz w:val="24"/>
          <w:szCs w:val="24"/>
          <w:lang w:val="es-MX"/>
        </w:rPr>
      </w:pPr>
    </w:p>
    <w:p w:rsidR="00635ABB" w:rsidRDefault="00635ABB" w:rsidP="005C2B12">
      <w:pPr>
        <w:spacing w:after="0" w:line="276" w:lineRule="auto"/>
        <w:jc w:val="both"/>
        <w:rPr>
          <w:rFonts w:ascii="Futura Lt BT" w:hAnsi="Futura Lt BT" w:cs="Courier New"/>
          <w:sz w:val="24"/>
          <w:szCs w:val="24"/>
          <w:lang w:val="es-MX"/>
        </w:rPr>
      </w:pPr>
    </w:p>
    <w:p w:rsidR="00635ABB" w:rsidRDefault="00635ABB" w:rsidP="005C2B12">
      <w:pPr>
        <w:spacing w:after="0" w:line="276" w:lineRule="auto"/>
        <w:jc w:val="both"/>
        <w:rPr>
          <w:rFonts w:ascii="Futura Lt BT" w:hAnsi="Futura Lt BT" w:cs="Courier New"/>
          <w:sz w:val="24"/>
          <w:szCs w:val="24"/>
          <w:lang w:val="es-MX"/>
        </w:rPr>
      </w:pPr>
    </w:p>
    <w:p w:rsidR="00634AF0" w:rsidRDefault="00634AF0" w:rsidP="005C2B12">
      <w:pPr>
        <w:spacing w:after="0" w:line="276" w:lineRule="auto"/>
        <w:jc w:val="both"/>
        <w:rPr>
          <w:rFonts w:ascii="Futura Lt BT" w:hAnsi="Futura Lt BT" w:cs="Courier New"/>
          <w:sz w:val="24"/>
          <w:szCs w:val="24"/>
          <w:lang w:val="es-MX"/>
        </w:rPr>
      </w:pPr>
    </w:p>
    <w:p w:rsidR="006938A2" w:rsidRDefault="006938A2" w:rsidP="005C2B12">
      <w:pPr>
        <w:spacing w:after="0" w:line="276" w:lineRule="auto"/>
        <w:jc w:val="both"/>
        <w:rPr>
          <w:rFonts w:ascii="Futura Lt BT" w:hAnsi="Futura Lt BT" w:cs="Courier New"/>
          <w:sz w:val="24"/>
          <w:szCs w:val="24"/>
          <w:highlight w:val="cyan"/>
          <w:lang w:val="es-MX"/>
        </w:rPr>
      </w:pPr>
    </w:p>
    <w:p w:rsidR="00634AF0" w:rsidRPr="001E3FE4" w:rsidRDefault="00BB1C22" w:rsidP="001E3FE4">
      <w:pPr>
        <w:spacing w:line="276" w:lineRule="auto"/>
        <w:jc w:val="both"/>
        <w:rPr>
          <w:rFonts w:ascii="Futura Lt BT" w:eastAsia="Calibri" w:hAnsi="Futura Lt BT" w:cs="Courier New"/>
          <w:sz w:val="24"/>
          <w:szCs w:val="24"/>
          <w:lang w:val="es-MX"/>
        </w:rPr>
      </w:pPr>
      <w:r w:rsidRPr="001E3FE4">
        <w:rPr>
          <w:rFonts w:ascii="Futura Lt BT" w:eastAsia="Calibri" w:hAnsi="Futura Lt BT" w:cs="Courier New"/>
          <w:sz w:val="24"/>
          <w:szCs w:val="24"/>
          <w:lang w:val="es-MX"/>
        </w:rPr>
        <w:t>Como resultado d</w:t>
      </w:r>
      <w:r w:rsidR="005C2B12" w:rsidRPr="001E3FE4">
        <w:rPr>
          <w:rFonts w:ascii="Futura Lt BT" w:eastAsia="Calibri" w:hAnsi="Futura Lt BT" w:cs="Courier New"/>
          <w:sz w:val="24"/>
          <w:szCs w:val="24"/>
          <w:lang w:val="es-MX"/>
        </w:rPr>
        <w:t xml:space="preserve">e las transacciones de exportaciones e importaciones de bienes y servicios registradas en el trimestre, se obtuvo un déficit comercial de </w:t>
      </w:r>
      <w:r w:rsidR="002E2F75" w:rsidRPr="001E3FE4">
        <w:rPr>
          <w:rFonts w:ascii="Futura Lt BT" w:eastAsia="Calibri" w:hAnsi="Futura Lt BT" w:cs="Courier New"/>
          <w:sz w:val="24"/>
          <w:szCs w:val="24"/>
          <w:lang w:val="es-MX"/>
        </w:rPr>
        <w:t>669</w:t>
      </w:r>
      <w:r w:rsidR="00C71FF1" w:rsidRPr="001E3FE4">
        <w:rPr>
          <w:rFonts w:ascii="Futura Lt BT" w:eastAsia="Calibri" w:hAnsi="Futura Lt BT" w:cs="Courier New"/>
          <w:sz w:val="24"/>
          <w:szCs w:val="24"/>
          <w:lang w:val="es-MX"/>
        </w:rPr>
        <w:t>.</w:t>
      </w:r>
      <w:r w:rsidR="002E2F75" w:rsidRPr="001E3FE4">
        <w:rPr>
          <w:rFonts w:ascii="Futura Lt BT" w:eastAsia="Calibri" w:hAnsi="Futura Lt BT" w:cs="Courier New"/>
          <w:sz w:val="24"/>
          <w:szCs w:val="24"/>
          <w:lang w:val="es-MX"/>
        </w:rPr>
        <w:t>5</w:t>
      </w:r>
      <w:r w:rsidR="005C2B12" w:rsidRPr="001E3FE4">
        <w:rPr>
          <w:rFonts w:ascii="Futura Lt BT" w:eastAsia="Calibri" w:hAnsi="Futura Lt BT" w:cs="Courier New"/>
          <w:sz w:val="24"/>
          <w:szCs w:val="24"/>
          <w:lang w:val="es-MX"/>
        </w:rPr>
        <w:t xml:space="preserve"> millones de dólares, el cual fue </w:t>
      </w:r>
      <w:r w:rsidR="008744A1" w:rsidRPr="001E3FE4">
        <w:rPr>
          <w:rFonts w:ascii="Futura Lt BT" w:eastAsia="Calibri" w:hAnsi="Futura Lt BT" w:cs="Courier New"/>
          <w:sz w:val="24"/>
          <w:szCs w:val="24"/>
          <w:lang w:val="es-MX"/>
        </w:rPr>
        <w:t>sup</w:t>
      </w:r>
      <w:r w:rsidR="00C71FF1" w:rsidRPr="001E3FE4">
        <w:rPr>
          <w:rFonts w:ascii="Futura Lt BT" w:eastAsia="Calibri" w:hAnsi="Futura Lt BT" w:cs="Courier New"/>
          <w:sz w:val="24"/>
          <w:szCs w:val="24"/>
          <w:lang w:val="es-MX"/>
        </w:rPr>
        <w:t>erior</w:t>
      </w:r>
      <w:r w:rsidR="006042D7" w:rsidRPr="001E3FE4">
        <w:rPr>
          <w:rFonts w:ascii="Futura Lt BT" w:eastAsia="Calibri" w:hAnsi="Futura Lt BT" w:cs="Courier New"/>
          <w:sz w:val="24"/>
          <w:szCs w:val="24"/>
          <w:lang w:val="es-MX"/>
        </w:rPr>
        <w:t xml:space="preserve"> </w:t>
      </w:r>
      <w:r w:rsidR="00C62BC8" w:rsidRPr="001E3FE4">
        <w:rPr>
          <w:rFonts w:ascii="Futura Lt BT" w:eastAsia="Calibri" w:hAnsi="Futura Lt BT" w:cs="Courier New"/>
          <w:sz w:val="24"/>
          <w:szCs w:val="24"/>
          <w:lang w:val="es-MX"/>
        </w:rPr>
        <w:t xml:space="preserve">en </w:t>
      </w:r>
      <w:r w:rsidR="002E2F75" w:rsidRPr="001E3FE4">
        <w:rPr>
          <w:rFonts w:ascii="Futura Lt BT" w:eastAsia="Calibri" w:hAnsi="Futura Lt BT" w:cs="Courier New"/>
          <w:sz w:val="24"/>
          <w:szCs w:val="24"/>
          <w:lang w:val="es-MX"/>
        </w:rPr>
        <w:t>3</w:t>
      </w:r>
      <w:r w:rsidR="00C71FF1" w:rsidRPr="001E3FE4">
        <w:rPr>
          <w:rFonts w:ascii="Futura Lt BT" w:eastAsia="Calibri" w:hAnsi="Futura Lt BT" w:cs="Courier New"/>
          <w:sz w:val="24"/>
          <w:szCs w:val="24"/>
          <w:lang w:val="es-MX"/>
        </w:rPr>
        <w:t>1.</w:t>
      </w:r>
      <w:r w:rsidR="00C62BC8" w:rsidRPr="001E3FE4">
        <w:rPr>
          <w:rFonts w:ascii="Futura Lt BT" w:eastAsia="Calibri" w:hAnsi="Futura Lt BT" w:cs="Courier New"/>
          <w:sz w:val="24"/>
          <w:szCs w:val="24"/>
          <w:lang w:val="es-MX"/>
        </w:rPr>
        <w:t>5</w:t>
      </w:r>
      <w:r w:rsidR="005C2B12" w:rsidRPr="001E3FE4">
        <w:rPr>
          <w:rFonts w:ascii="Futura Lt BT" w:eastAsia="Calibri" w:hAnsi="Futura Lt BT" w:cs="Courier New"/>
          <w:sz w:val="24"/>
          <w:szCs w:val="24"/>
          <w:lang w:val="es-MX"/>
        </w:rPr>
        <w:t xml:space="preserve"> </w:t>
      </w:r>
      <w:r w:rsidR="002E2F75" w:rsidRPr="001E3FE4">
        <w:rPr>
          <w:rFonts w:ascii="Futura Lt BT" w:eastAsia="Calibri" w:hAnsi="Futura Lt BT" w:cs="Courier New"/>
          <w:sz w:val="24"/>
          <w:szCs w:val="24"/>
          <w:lang w:val="es-MX"/>
        </w:rPr>
        <w:t>por ciento</w:t>
      </w:r>
      <w:r w:rsidR="005C2B12" w:rsidRPr="001E3FE4">
        <w:rPr>
          <w:rFonts w:ascii="Futura Lt BT" w:eastAsia="Calibri" w:hAnsi="Futura Lt BT" w:cs="Courier New"/>
          <w:sz w:val="24"/>
          <w:szCs w:val="24"/>
          <w:lang w:val="es-MX"/>
        </w:rPr>
        <w:t xml:space="preserve"> al registrado en </w:t>
      </w:r>
      <w:r w:rsidR="00A451C3">
        <w:rPr>
          <w:rFonts w:ascii="Futura Lt BT" w:eastAsia="Calibri" w:hAnsi="Futura Lt BT" w:cs="Courier New"/>
          <w:sz w:val="24"/>
          <w:szCs w:val="24"/>
          <w:lang w:val="es-MX"/>
        </w:rPr>
        <w:t xml:space="preserve">igual periodo de </w:t>
      </w:r>
      <w:r w:rsidR="005C2B12" w:rsidRPr="001E3FE4">
        <w:rPr>
          <w:rFonts w:ascii="Futura Lt BT" w:eastAsia="Calibri" w:hAnsi="Futura Lt BT" w:cs="Courier New"/>
          <w:sz w:val="24"/>
          <w:szCs w:val="24"/>
          <w:lang w:val="es-MX"/>
        </w:rPr>
        <w:t>202</w:t>
      </w:r>
      <w:r w:rsidR="00C62BC8" w:rsidRPr="001E3FE4">
        <w:rPr>
          <w:rFonts w:ascii="Futura Lt BT" w:eastAsia="Calibri" w:hAnsi="Futura Lt BT" w:cs="Courier New"/>
          <w:sz w:val="24"/>
          <w:szCs w:val="24"/>
          <w:lang w:val="es-MX"/>
        </w:rPr>
        <w:t>3</w:t>
      </w:r>
      <w:r w:rsidR="005C2B12" w:rsidRPr="001E3FE4">
        <w:rPr>
          <w:rFonts w:ascii="Futura Lt BT" w:eastAsia="Calibri" w:hAnsi="Futura Lt BT" w:cs="Courier New"/>
          <w:sz w:val="24"/>
          <w:szCs w:val="24"/>
          <w:lang w:val="es-MX"/>
        </w:rPr>
        <w:t xml:space="preserve"> (-US$</w:t>
      </w:r>
      <w:r w:rsidR="002E2F75" w:rsidRPr="001E3FE4">
        <w:rPr>
          <w:rFonts w:ascii="Futura Lt BT" w:eastAsia="Calibri" w:hAnsi="Futura Lt BT" w:cs="Courier New"/>
          <w:sz w:val="24"/>
          <w:szCs w:val="24"/>
          <w:lang w:val="es-MX"/>
        </w:rPr>
        <w:t>509.</w:t>
      </w:r>
      <w:r w:rsidR="00C62BC8" w:rsidRPr="001E3FE4">
        <w:rPr>
          <w:rFonts w:ascii="Futura Lt BT" w:eastAsia="Calibri" w:hAnsi="Futura Lt BT" w:cs="Courier New"/>
          <w:sz w:val="24"/>
          <w:szCs w:val="24"/>
          <w:lang w:val="es-MX"/>
        </w:rPr>
        <w:t>1</w:t>
      </w:r>
      <w:r w:rsidR="005C2B12" w:rsidRPr="001E3FE4">
        <w:rPr>
          <w:rFonts w:ascii="Futura Lt BT" w:eastAsia="Calibri" w:hAnsi="Futura Lt BT" w:cs="Courier New"/>
          <w:sz w:val="24"/>
          <w:szCs w:val="24"/>
          <w:lang w:val="es-MX"/>
        </w:rPr>
        <w:t xml:space="preserve"> millones)</w:t>
      </w:r>
      <w:bookmarkEnd w:id="8"/>
      <w:r w:rsidR="005C2B12" w:rsidRPr="001E3FE4">
        <w:rPr>
          <w:rFonts w:ascii="Futura Lt BT" w:eastAsia="Calibri" w:hAnsi="Futura Lt BT" w:cs="Courier New"/>
          <w:sz w:val="24"/>
          <w:szCs w:val="24"/>
          <w:lang w:val="es-MX"/>
        </w:rPr>
        <w:t xml:space="preserve">. </w:t>
      </w:r>
    </w:p>
    <w:p w:rsidR="00E11F4E" w:rsidRPr="001E3FE4" w:rsidRDefault="00634AF0" w:rsidP="001E3FE4">
      <w:pPr>
        <w:spacing w:line="276" w:lineRule="auto"/>
        <w:jc w:val="both"/>
        <w:rPr>
          <w:rFonts w:ascii="Futura Lt BT" w:eastAsia="Calibri" w:hAnsi="Futura Lt BT" w:cs="Courier New"/>
          <w:sz w:val="24"/>
          <w:szCs w:val="24"/>
          <w:lang w:val="es-MX"/>
        </w:rPr>
      </w:pPr>
      <w:r w:rsidRPr="001E3FE4">
        <w:rPr>
          <w:rFonts w:ascii="Futura Lt BT" w:eastAsia="Calibri" w:hAnsi="Futura Lt BT" w:cs="Courier New"/>
          <w:sz w:val="24"/>
          <w:szCs w:val="24"/>
          <w:lang w:val="es-MX"/>
        </w:rPr>
        <w:lastRenderedPageBreak/>
        <w:t>En términos acumulados, el balance comercial de bienes y servicios resultó en un déficit de 1,297.1 millones de dólares (-US$730.5 millones en</w:t>
      </w:r>
      <w:r w:rsidR="000C1FA8" w:rsidRPr="001E3FE4">
        <w:rPr>
          <w:rFonts w:ascii="Futura Lt BT" w:eastAsia="Calibri" w:hAnsi="Futura Lt BT" w:cs="Courier New"/>
          <w:sz w:val="24"/>
          <w:szCs w:val="24"/>
          <w:lang w:val="es-MX"/>
        </w:rPr>
        <w:t xml:space="preserve"> </w:t>
      </w:r>
      <w:r w:rsidR="00A451C3">
        <w:rPr>
          <w:rFonts w:ascii="Futura Lt BT" w:eastAsia="Calibri" w:hAnsi="Futura Lt BT" w:cs="Courier New"/>
          <w:sz w:val="24"/>
          <w:szCs w:val="24"/>
          <w:lang w:val="es-MX"/>
        </w:rPr>
        <w:t xml:space="preserve">primer semestre </w:t>
      </w:r>
      <w:r w:rsidR="003F723B" w:rsidRPr="001E3FE4">
        <w:rPr>
          <w:rFonts w:ascii="Futura Lt BT" w:eastAsia="Calibri" w:hAnsi="Futura Lt BT" w:cs="Courier New"/>
          <w:sz w:val="24"/>
          <w:szCs w:val="24"/>
          <w:lang w:val="es-MX"/>
        </w:rPr>
        <w:t xml:space="preserve">de </w:t>
      </w:r>
      <w:r w:rsidRPr="001E3FE4">
        <w:rPr>
          <w:rFonts w:ascii="Futura Lt BT" w:eastAsia="Calibri" w:hAnsi="Futura Lt BT" w:cs="Courier New"/>
          <w:sz w:val="24"/>
          <w:szCs w:val="24"/>
          <w:lang w:val="es-MX"/>
        </w:rPr>
        <w:t>2023), debido principalmente al balance negativo de comercio de bienes (-US$1,357.1 millones)</w:t>
      </w:r>
      <w:r w:rsidR="00891BD9" w:rsidRPr="001E3FE4">
        <w:rPr>
          <w:rFonts w:ascii="Futura Lt BT" w:eastAsia="Calibri" w:hAnsi="Futura Lt BT" w:cs="Courier New"/>
          <w:sz w:val="24"/>
          <w:szCs w:val="24"/>
          <w:lang w:val="es-MX"/>
        </w:rPr>
        <w:t xml:space="preserve"> </w:t>
      </w:r>
      <w:r w:rsidR="008757F9" w:rsidRPr="001E3FE4">
        <w:rPr>
          <w:rFonts w:ascii="Futura Lt BT" w:eastAsia="Calibri" w:hAnsi="Futura Lt BT" w:cs="Courier New"/>
          <w:sz w:val="24"/>
          <w:szCs w:val="24"/>
          <w:lang w:val="es-MX"/>
        </w:rPr>
        <w:t xml:space="preserve">que </w:t>
      </w:r>
      <w:r w:rsidR="003F723B" w:rsidRPr="001E3FE4">
        <w:rPr>
          <w:rFonts w:ascii="Futura Lt BT" w:eastAsia="Calibri" w:hAnsi="Futura Lt BT" w:cs="Courier New"/>
          <w:sz w:val="24"/>
          <w:szCs w:val="24"/>
          <w:lang w:val="es-MX"/>
        </w:rPr>
        <w:t>superó al balance superavitario de la cuenta de servicios</w:t>
      </w:r>
      <w:r w:rsidR="00CE4E27" w:rsidRPr="001E3FE4">
        <w:rPr>
          <w:rFonts w:ascii="Futura Lt BT" w:eastAsia="Calibri" w:hAnsi="Futura Lt BT" w:cs="Courier New"/>
          <w:sz w:val="24"/>
          <w:szCs w:val="24"/>
          <w:lang w:val="es-MX"/>
        </w:rPr>
        <w:t xml:space="preserve"> (</w:t>
      </w:r>
      <w:r w:rsidR="001E3FE4" w:rsidRPr="001E3FE4">
        <w:rPr>
          <w:rFonts w:ascii="Futura Lt BT" w:eastAsia="Calibri" w:hAnsi="Futura Lt BT" w:cs="Courier New"/>
          <w:sz w:val="24"/>
          <w:szCs w:val="24"/>
          <w:lang w:val="es-MX"/>
        </w:rPr>
        <w:t>US$60.0 millones)</w:t>
      </w:r>
      <w:r w:rsidR="008F7416" w:rsidRPr="001E3FE4">
        <w:rPr>
          <w:rFonts w:ascii="Futura Lt BT" w:eastAsia="Calibri" w:hAnsi="Futura Lt BT" w:cs="Courier New"/>
          <w:sz w:val="24"/>
          <w:szCs w:val="24"/>
          <w:lang w:val="es-MX"/>
        </w:rPr>
        <w:t>.</w:t>
      </w:r>
    </w:p>
    <w:p w:rsidR="00072140" w:rsidRPr="001E3FE4" w:rsidRDefault="001E3FE4" w:rsidP="001E3FE4">
      <w:pPr>
        <w:spacing w:line="276" w:lineRule="auto"/>
        <w:jc w:val="both"/>
        <w:rPr>
          <w:rFonts w:ascii="Futura Lt BT" w:eastAsia="Calibri" w:hAnsi="Futura Lt BT" w:cs="Courier New"/>
          <w:sz w:val="24"/>
          <w:szCs w:val="24"/>
          <w:lang w:val="es-MX"/>
        </w:rPr>
      </w:pPr>
      <w:r w:rsidRPr="00DB5DA0">
        <w:rPr>
          <w:noProof/>
        </w:rPr>
        <w:drawing>
          <wp:anchor distT="0" distB="0" distL="114300" distR="114300" simplePos="0" relativeHeight="251870208" behindDoc="0" locked="0" layoutInCell="1" allowOverlap="1">
            <wp:simplePos x="0" y="0"/>
            <wp:positionH relativeFrom="margin">
              <wp:posOffset>3158173</wp:posOffset>
            </wp:positionH>
            <wp:positionV relativeFrom="paragraph">
              <wp:posOffset>916305</wp:posOffset>
            </wp:positionV>
            <wp:extent cx="2409825" cy="221594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688"/>
                    <a:stretch/>
                  </pic:blipFill>
                  <pic:spPr bwMode="auto">
                    <a:xfrm>
                      <a:off x="0" y="0"/>
                      <a:ext cx="2409825" cy="22159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754F" w:rsidRPr="001E3FE4">
        <w:rPr>
          <w:rFonts w:ascii="Futura Lt BT" w:eastAsia="Calibri" w:hAnsi="Futura Lt BT" w:cs="Courier New"/>
          <w:sz w:val="24"/>
          <w:szCs w:val="24"/>
          <w:lang w:val="es-MX"/>
        </w:rPr>
        <w:t xml:space="preserve">En este </w:t>
      </w:r>
      <w:r w:rsidR="008757F9" w:rsidRPr="001E3FE4">
        <w:rPr>
          <w:rFonts w:ascii="Futura Lt BT" w:eastAsia="Calibri" w:hAnsi="Futura Lt BT" w:cs="Courier New"/>
          <w:sz w:val="24"/>
          <w:szCs w:val="24"/>
          <w:lang w:val="es-MX"/>
        </w:rPr>
        <w:t>primer semestre</w:t>
      </w:r>
      <w:r w:rsidR="0092754F" w:rsidRPr="001E3FE4">
        <w:rPr>
          <w:rFonts w:ascii="Futura Lt BT" w:eastAsia="Calibri" w:hAnsi="Futura Lt BT" w:cs="Courier New"/>
          <w:sz w:val="24"/>
          <w:szCs w:val="24"/>
          <w:lang w:val="es-MX"/>
        </w:rPr>
        <w:t xml:space="preserve"> del año, l</w:t>
      </w:r>
      <w:r w:rsidR="005C2B12" w:rsidRPr="001E3FE4">
        <w:rPr>
          <w:rFonts w:ascii="Futura Lt BT" w:eastAsia="Calibri" w:hAnsi="Futura Lt BT" w:cs="Courier New"/>
          <w:sz w:val="24"/>
          <w:szCs w:val="24"/>
          <w:lang w:val="es-MX"/>
        </w:rPr>
        <w:t xml:space="preserve">os términos de intercambio evolucionaron favorables, al registrar un aumento promedio de </w:t>
      </w:r>
      <w:r w:rsidR="002F3111" w:rsidRPr="001E3FE4">
        <w:rPr>
          <w:rFonts w:ascii="Futura Lt BT" w:eastAsia="Calibri" w:hAnsi="Futura Lt BT" w:cs="Courier New"/>
          <w:sz w:val="24"/>
          <w:szCs w:val="24"/>
          <w:lang w:val="es-MX"/>
        </w:rPr>
        <w:t>6.5</w:t>
      </w:r>
      <w:r w:rsidR="00C62BC8" w:rsidRPr="001E3FE4">
        <w:rPr>
          <w:rFonts w:ascii="Futura Lt BT" w:eastAsia="Calibri" w:hAnsi="Futura Lt BT" w:cs="Courier New"/>
          <w:sz w:val="24"/>
          <w:szCs w:val="24"/>
          <w:lang w:val="es-MX"/>
        </w:rPr>
        <w:t xml:space="preserve"> </w:t>
      </w:r>
      <w:r w:rsidR="005C2B12" w:rsidRPr="001E3FE4">
        <w:rPr>
          <w:rFonts w:ascii="Futura Lt BT" w:eastAsia="Calibri" w:hAnsi="Futura Lt BT" w:cs="Courier New"/>
          <w:sz w:val="24"/>
          <w:szCs w:val="24"/>
          <w:lang w:val="es-MX"/>
        </w:rPr>
        <w:t xml:space="preserve">por ciento, siendo resultado de un incremento en los precios contratados de las exportaciones de </w:t>
      </w:r>
      <w:r w:rsidR="002F3111" w:rsidRPr="001E3FE4">
        <w:rPr>
          <w:rFonts w:ascii="Futura Lt BT" w:eastAsia="Calibri" w:hAnsi="Futura Lt BT" w:cs="Courier New"/>
          <w:sz w:val="24"/>
          <w:szCs w:val="24"/>
          <w:lang w:val="es-MX"/>
        </w:rPr>
        <w:t>6.6</w:t>
      </w:r>
      <w:r w:rsidR="005C2B12" w:rsidRPr="001E3FE4">
        <w:rPr>
          <w:rFonts w:ascii="Futura Lt BT" w:eastAsia="Calibri" w:hAnsi="Futura Lt BT" w:cs="Courier New"/>
          <w:sz w:val="24"/>
          <w:szCs w:val="24"/>
          <w:lang w:val="es-MX"/>
        </w:rPr>
        <w:t xml:space="preserve"> por ciento, y </w:t>
      </w:r>
      <w:r w:rsidR="00D15B56" w:rsidRPr="001E3FE4">
        <w:rPr>
          <w:rFonts w:ascii="Futura Lt BT" w:eastAsia="Calibri" w:hAnsi="Futura Lt BT" w:cs="Courier New"/>
          <w:sz w:val="24"/>
          <w:szCs w:val="24"/>
          <w:lang w:val="es-MX"/>
        </w:rPr>
        <w:t>de</w:t>
      </w:r>
      <w:r w:rsidR="005C2B12" w:rsidRPr="001E3FE4">
        <w:rPr>
          <w:rFonts w:ascii="Futura Lt BT" w:eastAsia="Calibri" w:hAnsi="Futura Lt BT" w:cs="Courier New"/>
          <w:sz w:val="24"/>
          <w:szCs w:val="24"/>
          <w:lang w:val="es-MX"/>
        </w:rPr>
        <w:t xml:space="preserve"> los precios de bienes importados de </w:t>
      </w:r>
      <w:r w:rsidR="002F3111" w:rsidRPr="001E3FE4">
        <w:rPr>
          <w:rFonts w:ascii="Futura Lt BT" w:eastAsia="Calibri" w:hAnsi="Futura Lt BT" w:cs="Courier New"/>
          <w:sz w:val="24"/>
          <w:szCs w:val="24"/>
          <w:lang w:val="es-MX"/>
        </w:rPr>
        <w:t xml:space="preserve">0.1 </w:t>
      </w:r>
      <w:r w:rsidR="005C2B12" w:rsidRPr="001E3FE4">
        <w:rPr>
          <w:rFonts w:ascii="Futura Lt BT" w:eastAsia="Calibri" w:hAnsi="Futura Lt BT" w:cs="Courier New"/>
          <w:sz w:val="24"/>
          <w:szCs w:val="24"/>
          <w:lang w:val="es-MX"/>
        </w:rPr>
        <w:t>por ciento.</w:t>
      </w:r>
    </w:p>
    <w:p w:rsidR="0020044D" w:rsidRDefault="00EA63C3" w:rsidP="005C2B12">
      <w:pPr>
        <w:spacing w:after="0" w:line="276" w:lineRule="auto"/>
        <w:jc w:val="both"/>
        <w:rPr>
          <w:rFonts w:ascii="Futura Lt BT" w:hAnsi="Futura Lt BT" w:cs="Courier New"/>
          <w:sz w:val="24"/>
          <w:szCs w:val="24"/>
          <w:lang w:val="es-MX"/>
        </w:rPr>
      </w:pPr>
      <w:r w:rsidRPr="005B7947">
        <w:rPr>
          <w:noProof/>
        </w:rPr>
        <w:drawing>
          <wp:anchor distT="0" distB="0" distL="114300" distR="114300" simplePos="0" relativeHeight="251873280" behindDoc="0" locked="0" layoutInCell="1" allowOverlap="1">
            <wp:simplePos x="0" y="0"/>
            <wp:positionH relativeFrom="margin">
              <wp:align>left</wp:align>
            </wp:positionH>
            <wp:positionV relativeFrom="paragraph">
              <wp:posOffset>0</wp:posOffset>
            </wp:positionV>
            <wp:extent cx="2928937" cy="21837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1769" cy="21858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2949" w:rsidRDefault="00C62BC8" w:rsidP="005C2B12">
      <w:pPr>
        <w:spacing w:after="0" w:line="276" w:lineRule="auto"/>
        <w:jc w:val="both"/>
        <w:rPr>
          <w:rFonts w:ascii="Futura Lt BT" w:hAnsi="Futura Lt BT" w:cs="Courier New"/>
          <w:sz w:val="24"/>
          <w:szCs w:val="24"/>
          <w:lang w:val="es-MX"/>
        </w:rPr>
      </w:pPr>
      <w:r w:rsidRPr="00C62BC8">
        <w:rPr>
          <w:rFonts w:ascii="Futura Lt BT" w:hAnsi="Futura Lt BT" w:cs="Courier New"/>
          <w:sz w:val="24"/>
          <w:szCs w:val="24"/>
          <w:lang w:val="es-MX"/>
        </w:rPr>
        <w:t xml:space="preserve"> </w:t>
      </w:r>
    </w:p>
    <w:p w:rsidR="005C2B12" w:rsidRDefault="005C2B12" w:rsidP="005C2B12">
      <w:pPr>
        <w:spacing w:after="0" w:line="276" w:lineRule="auto"/>
        <w:jc w:val="both"/>
        <w:rPr>
          <w:rFonts w:ascii="Futura Lt BT" w:hAnsi="Futura Lt BT" w:cs="Courier New"/>
          <w:sz w:val="24"/>
          <w:szCs w:val="24"/>
          <w:lang w:val="es-MX"/>
        </w:rPr>
      </w:pPr>
    </w:p>
    <w:p w:rsidR="00F37BA1" w:rsidRDefault="00F37BA1" w:rsidP="00F37BA1">
      <w:pPr>
        <w:spacing w:after="0" w:line="120" w:lineRule="auto"/>
        <w:jc w:val="both"/>
        <w:rPr>
          <w:rFonts w:ascii="Futura Lt BT" w:hAnsi="Futura Lt BT" w:cs="Courier New"/>
          <w:sz w:val="24"/>
          <w:szCs w:val="24"/>
          <w:lang w:val="es-MX"/>
        </w:rPr>
      </w:pPr>
    </w:p>
    <w:p w:rsidR="00C62BC8" w:rsidRDefault="00C62BC8" w:rsidP="00D86268">
      <w:pPr>
        <w:spacing w:after="0" w:line="276" w:lineRule="auto"/>
        <w:jc w:val="both"/>
        <w:rPr>
          <w:rFonts w:ascii="Futura Lt BT" w:hAnsi="Futura Lt BT" w:cs="Courier New"/>
          <w:sz w:val="24"/>
          <w:szCs w:val="24"/>
          <w:lang w:val="es-MX"/>
        </w:rPr>
      </w:pPr>
    </w:p>
    <w:p w:rsidR="00C62BC8" w:rsidRDefault="00C62BC8" w:rsidP="00D86268">
      <w:pPr>
        <w:spacing w:after="0" w:line="276" w:lineRule="auto"/>
        <w:jc w:val="both"/>
        <w:rPr>
          <w:rFonts w:ascii="Futura Lt BT" w:hAnsi="Futura Lt BT" w:cs="Courier New"/>
          <w:sz w:val="24"/>
          <w:szCs w:val="24"/>
          <w:lang w:val="es-MX"/>
        </w:rPr>
      </w:pPr>
    </w:p>
    <w:p w:rsidR="00C62BC8" w:rsidRDefault="00C62BC8" w:rsidP="00D86268">
      <w:pPr>
        <w:spacing w:after="0" w:line="276" w:lineRule="auto"/>
        <w:jc w:val="both"/>
        <w:rPr>
          <w:rFonts w:ascii="Futura Lt BT" w:hAnsi="Futura Lt BT" w:cs="Courier New"/>
          <w:sz w:val="24"/>
          <w:szCs w:val="24"/>
          <w:lang w:val="es-MX"/>
        </w:rPr>
      </w:pPr>
    </w:p>
    <w:p w:rsidR="00C62BC8" w:rsidRDefault="00C62BC8" w:rsidP="00D86268">
      <w:pPr>
        <w:spacing w:after="0" w:line="276" w:lineRule="auto"/>
        <w:jc w:val="both"/>
        <w:rPr>
          <w:rFonts w:ascii="Futura Lt BT" w:hAnsi="Futura Lt BT" w:cs="Courier New"/>
          <w:sz w:val="24"/>
          <w:szCs w:val="24"/>
          <w:lang w:val="es-MX"/>
        </w:rPr>
      </w:pPr>
    </w:p>
    <w:p w:rsidR="00C62BC8" w:rsidRDefault="00C62BC8" w:rsidP="00D86268">
      <w:pPr>
        <w:spacing w:after="0" w:line="276" w:lineRule="auto"/>
        <w:jc w:val="both"/>
        <w:rPr>
          <w:rFonts w:ascii="Futura Lt BT" w:hAnsi="Futura Lt BT" w:cs="Courier New"/>
          <w:sz w:val="24"/>
          <w:szCs w:val="24"/>
          <w:lang w:val="es-MX"/>
        </w:rPr>
      </w:pPr>
    </w:p>
    <w:p w:rsidR="00C62BC8" w:rsidRDefault="00C62BC8" w:rsidP="00D86268">
      <w:pPr>
        <w:spacing w:after="0" w:line="276" w:lineRule="auto"/>
        <w:jc w:val="both"/>
        <w:rPr>
          <w:rFonts w:ascii="Futura Lt BT" w:hAnsi="Futura Lt BT" w:cs="Courier New"/>
          <w:sz w:val="24"/>
          <w:szCs w:val="24"/>
          <w:lang w:val="es-MX"/>
        </w:rPr>
      </w:pPr>
    </w:p>
    <w:p w:rsidR="00C62BC8" w:rsidRDefault="00C62BC8" w:rsidP="00D86268">
      <w:pPr>
        <w:spacing w:after="0" w:line="276" w:lineRule="auto"/>
        <w:jc w:val="both"/>
        <w:rPr>
          <w:rFonts w:ascii="Futura Lt BT" w:hAnsi="Futura Lt BT" w:cs="Courier New"/>
          <w:sz w:val="24"/>
          <w:szCs w:val="24"/>
          <w:lang w:val="es-MX"/>
        </w:rPr>
      </w:pPr>
    </w:p>
    <w:p w:rsidR="00E11F4E" w:rsidRDefault="00E11F4E" w:rsidP="008F02A9">
      <w:pPr>
        <w:spacing w:after="0" w:line="276" w:lineRule="auto"/>
        <w:jc w:val="both"/>
        <w:rPr>
          <w:rFonts w:ascii="Futura Lt BT" w:hAnsi="Futura Lt BT" w:cs="Courier New"/>
          <w:sz w:val="24"/>
          <w:szCs w:val="24"/>
          <w:lang w:val="es-MX"/>
        </w:rPr>
      </w:pPr>
    </w:p>
    <w:p w:rsidR="003F398E" w:rsidRPr="003F398E" w:rsidRDefault="008F02A9" w:rsidP="003F398E">
      <w:pPr>
        <w:spacing w:line="276" w:lineRule="auto"/>
        <w:jc w:val="both"/>
        <w:rPr>
          <w:rFonts w:ascii="Futura Lt BT" w:eastAsia="Calibri" w:hAnsi="Futura Lt BT" w:cs="Courier New"/>
          <w:sz w:val="24"/>
          <w:szCs w:val="24"/>
          <w:lang w:val="es-MX"/>
        </w:rPr>
      </w:pPr>
      <w:r w:rsidRPr="003F398E">
        <w:rPr>
          <w:rFonts w:ascii="Futura Lt BT" w:eastAsia="Calibri" w:hAnsi="Futura Lt BT" w:cs="Courier New"/>
          <w:sz w:val="24"/>
          <w:szCs w:val="24"/>
          <w:lang w:val="es-MX"/>
        </w:rPr>
        <w:t>En la cuenta del ingreso primario (renta)</w:t>
      </w:r>
      <w:bookmarkStart w:id="9" w:name="_Hlk98755824"/>
      <w:r w:rsidRPr="003F398E">
        <w:rPr>
          <w:rFonts w:ascii="Futura Lt BT" w:eastAsia="Calibri" w:hAnsi="Futura Lt BT" w:cs="Courier New"/>
          <w:sz w:val="24"/>
          <w:szCs w:val="24"/>
          <w:lang w:val="es-MX"/>
        </w:rPr>
        <w:t xml:space="preserve"> se registró un déficit de </w:t>
      </w:r>
      <w:r w:rsidR="006F25A1">
        <w:rPr>
          <w:rFonts w:ascii="Futura Lt BT" w:eastAsia="Calibri" w:hAnsi="Futura Lt BT" w:cs="Courier New"/>
          <w:sz w:val="24"/>
          <w:szCs w:val="24"/>
          <w:lang w:val="es-MX"/>
        </w:rPr>
        <w:t>233</w:t>
      </w:r>
      <w:r w:rsidR="00ED3769" w:rsidRPr="003F398E">
        <w:rPr>
          <w:rFonts w:ascii="Futura Lt BT" w:eastAsia="Calibri" w:hAnsi="Futura Lt BT" w:cs="Courier New"/>
          <w:sz w:val="24"/>
          <w:szCs w:val="24"/>
          <w:lang w:val="es-MX"/>
        </w:rPr>
        <w:t>.</w:t>
      </w:r>
      <w:r w:rsidR="007F1D4D" w:rsidRPr="003F398E">
        <w:rPr>
          <w:rFonts w:ascii="Futura Lt BT" w:eastAsia="Calibri" w:hAnsi="Futura Lt BT" w:cs="Courier New"/>
          <w:sz w:val="24"/>
          <w:szCs w:val="24"/>
          <w:lang w:val="es-MX"/>
        </w:rPr>
        <w:t>3</w:t>
      </w:r>
      <w:r w:rsidRPr="003F398E">
        <w:rPr>
          <w:rFonts w:ascii="Futura Lt BT" w:eastAsia="Calibri" w:hAnsi="Futura Lt BT" w:cs="Courier New"/>
          <w:sz w:val="24"/>
          <w:szCs w:val="24"/>
          <w:lang w:val="es-MX"/>
        </w:rPr>
        <w:t xml:space="preserve"> millones en el trimestre</w:t>
      </w:r>
      <w:r w:rsidR="009214D1" w:rsidRPr="003F398E">
        <w:rPr>
          <w:rFonts w:ascii="Futura Lt BT" w:eastAsia="Calibri" w:hAnsi="Futura Lt BT" w:cs="Courier New"/>
          <w:sz w:val="24"/>
          <w:szCs w:val="24"/>
          <w:lang w:val="es-MX"/>
        </w:rPr>
        <w:t xml:space="preserve"> </w:t>
      </w:r>
      <w:r w:rsidRPr="003F398E">
        <w:rPr>
          <w:rFonts w:ascii="Futura Lt BT" w:eastAsia="Calibri" w:hAnsi="Futura Lt BT" w:cs="Courier New"/>
          <w:sz w:val="24"/>
          <w:szCs w:val="24"/>
          <w:lang w:val="es-MX"/>
        </w:rPr>
        <w:t xml:space="preserve">y </w:t>
      </w:r>
      <w:r w:rsidR="003F398E" w:rsidRPr="003F398E">
        <w:rPr>
          <w:rFonts w:ascii="Futura Lt BT" w:eastAsia="Calibri" w:hAnsi="Futura Lt BT" w:cs="Courier New"/>
          <w:sz w:val="24"/>
          <w:szCs w:val="24"/>
          <w:lang w:val="es-MX"/>
        </w:rPr>
        <w:t xml:space="preserve">de </w:t>
      </w:r>
      <w:r w:rsidR="006F25A1">
        <w:rPr>
          <w:rFonts w:ascii="Futura Lt BT" w:eastAsia="Calibri" w:hAnsi="Futura Lt BT" w:cs="Courier New"/>
          <w:sz w:val="24"/>
          <w:szCs w:val="24"/>
          <w:lang w:val="es-MX"/>
        </w:rPr>
        <w:t>55</w:t>
      </w:r>
      <w:r w:rsidR="007F1D4D" w:rsidRPr="003F398E">
        <w:rPr>
          <w:rFonts w:ascii="Futura Lt BT" w:eastAsia="Calibri" w:hAnsi="Futura Lt BT" w:cs="Courier New"/>
          <w:sz w:val="24"/>
          <w:szCs w:val="24"/>
          <w:lang w:val="es-MX"/>
        </w:rPr>
        <w:t>6</w:t>
      </w:r>
      <w:r w:rsidRPr="003F398E">
        <w:rPr>
          <w:rFonts w:ascii="Futura Lt BT" w:eastAsia="Calibri" w:hAnsi="Futura Lt BT" w:cs="Courier New"/>
          <w:sz w:val="24"/>
          <w:szCs w:val="24"/>
          <w:lang w:val="es-MX"/>
        </w:rPr>
        <w:t>.</w:t>
      </w:r>
      <w:r w:rsidR="006F25A1">
        <w:rPr>
          <w:rFonts w:ascii="Futura Lt BT" w:eastAsia="Calibri" w:hAnsi="Futura Lt BT" w:cs="Courier New"/>
          <w:sz w:val="24"/>
          <w:szCs w:val="24"/>
          <w:lang w:val="es-MX"/>
        </w:rPr>
        <w:t>3</w:t>
      </w:r>
      <w:r w:rsidRPr="003F398E">
        <w:rPr>
          <w:rFonts w:ascii="Futura Lt BT" w:eastAsia="Calibri" w:hAnsi="Futura Lt BT" w:cs="Courier New"/>
          <w:sz w:val="24"/>
          <w:szCs w:val="24"/>
          <w:lang w:val="es-MX"/>
        </w:rPr>
        <w:t xml:space="preserve"> millones de dólares </w:t>
      </w:r>
      <w:r w:rsidR="00A451C3">
        <w:rPr>
          <w:rFonts w:ascii="Futura Lt BT" w:eastAsia="Calibri" w:hAnsi="Futura Lt BT" w:cs="Courier New"/>
          <w:sz w:val="24"/>
          <w:szCs w:val="24"/>
          <w:lang w:val="es-MX"/>
        </w:rPr>
        <w:t xml:space="preserve">en el primer </w:t>
      </w:r>
      <w:r w:rsidR="009214D1" w:rsidRPr="003F398E">
        <w:rPr>
          <w:rFonts w:ascii="Futura Lt BT" w:eastAsia="Calibri" w:hAnsi="Futura Lt BT" w:cs="Courier New"/>
          <w:sz w:val="24"/>
          <w:szCs w:val="24"/>
          <w:lang w:val="es-MX"/>
        </w:rPr>
        <w:t>semestre</w:t>
      </w:r>
      <w:r w:rsidRPr="003F398E">
        <w:rPr>
          <w:rFonts w:ascii="Futura Lt BT" w:eastAsia="Calibri" w:hAnsi="Futura Lt BT" w:cs="Courier New"/>
          <w:sz w:val="24"/>
          <w:szCs w:val="24"/>
          <w:lang w:val="es-MX"/>
        </w:rPr>
        <w:t xml:space="preserve"> (</w:t>
      </w:r>
      <w:r w:rsidR="00F05BF8">
        <w:rPr>
          <w:rFonts w:ascii="Futura Lt BT" w:eastAsia="Calibri" w:hAnsi="Futura Lt BT" w:cs="Courier New"/>
          <w:sz w:val="24"/>
          <w:szCs w:val="24"/>
          <w:lang w:val="es-MX"/>
        </w:rPr>
        <w:t>-</w:t>
      </w:r>
      <w:r w:rsidRPr="003F398E">
        <w:rPr>
          <w:rFonts w:ascii="Futura Lt BT" w:eastAsia="Calibri" w:hAnsi="Futura Lt BT" w:cs="Courier New"/>
          <w:sz w:val="24"/>
          <w:szCs w:val="24"/>
          <w:lang w:val="es-MX"/>
        </w:rPr>
        <w:t xml:space="preserve">US$597.1 millones en el primer semestre </w:t>
      </w:r>
      <w:r w:rsidR="003F398E" w:rsidRPr="003F398E">
        <w:rPr>
          <w:rFonts w:ascii="Futura Lt BT" w:eastAsia="Calibri" w:hAnsi="Futura Lt BT" w:cs="Courier New"/>
          <w:sz w:val="24"/>
          <w:szCs w:val="24"/>
          <w:lang w:val="es-MX"/>
        </w:rPr>
        <w:t xml:space="preserve">de </w:t>
      </w:r>
      <w:r w:rsidRPr="003F398E">
        <w:rPr>
          <w:rFonts w:ascii="Futura Lt BT" w:eastAsia="Calibri" w:hAnsi="Futura Lt BT" w:cs="Courier New"/>
          <w:sz w:val="24"/>
          <w:szCs w:val="24"/>
          <w:lang w:val="es-MX"/>
        </w:rPr>
        <w:t>2023)</w:t>
      </w:r>
      <w:r w:rsidR="00A451C3">
        <w:rPr>
          <w:rFonts w:ascii="Futura Lt BT" w:eastAsia="Calibri" w:hAnsi="Futura Lt BT" w:cs="Courier New"/>
          <w:sz w:val="24"/>
          <w:szCs w:val="24"/>
          <w:lang w:val="es-MX"/>
        </w:rPr>
        <w:t xml:space="preserve">, siendo en este último, </w:t>
      </w:r>
      <w:r w:rsidRPr="003F398E">
        <w:rPr>
          <w:rFonts w:ascii="Futura Lt BT" w:eastAsia="Calibri" w:hAnsi="Futura Lt BT" w:cs="Courier New"/>
          <w:sz w:val="24"/>
          <w:szCs w:val="24"/>
          <w:lang w:val="es-MX"/>
        </w:rPr>
        <w:t xml:space="preserve">resultado </w:t>
      </w:r>
      <w:r w:rsidR="00A451C3">
        <w:rPr>
          <w:rFonts w:ascii="Futura Lt BT" w:eastAsia="Calibri" w:hAnsi="Futura Lt BT" w:cs="Courier New"/>
          <w:sz w:val="24"/>
          <w:szCs w:val="24"/>
          <w:lang w:val="es-MX"/>
        </w:rPr>
        <w:t xml:space="preserve">del pago </w:t>
      </w:r>
      <w:r w:rsidRPr="003F398E">
        <w:rPr>
          <w:rFonts w:ascii="Futura Lt BT" w:eastAsia="Calibri" w:hAnsi="Futura Lt BT" w:cs="Courier New"/>
          <w:sz w:val="24"/>
          <w:szCs w:val="24"/>
          <w:lang w:val="es-MX"/>
        </w:rPr>
        <w:t>de la renta de la inversión extranjera directa en el país (US$</w:t>
      </w:r>
      <w:r w:rsidR="006F25A1">
        <w:rPr>
          <w:rFonts w:ascii="Futura Lt BT" w:eastAsia="Calibri" w:hAnsi="Futura Lt BT" w:cs="Courier New"/>
          <w:sz w:val="24"/>
          <w:szCs w:val="24"/>
          <w:lang w:val="es-MX"/>
        </w:rPr>
        <w:t>543.4</w:t>
      </w:r>
      <w:r w:rsidRPr="003F398E">
        <w:rPr>
          <w:rFonts w:ascii="Futura Lt BT" w:eastAsia="Calibri" w:hAnsi="Futura Lt BT" w:cs="Courier New"/>
          <w:sz w:val="24"/>
          <w:szCs w:val="24"/>
          <w:lang w:val="es-MX"/>
        </w:rPr>
        <w:t xml:space="preserve"> millones) y pago de intereses devengados de la deuda externa total (US$</w:t>
      </w:r>
      <w:r w:rsidR="00E6294F" w:rsidRPr="003F398E">
        <w:rPr>
          <w:rFonts w:ascii="Futura Lt BT" w:eastAsia="Calibri" w:hAnsi="Futura Lt BT" w:cs="Courier New"/>
          <w:sz w:val="24"/>
          <w:szCs w:val="24"/>
          <w:lang w:val="es-MX"/>
        </w:rPr>
        <w:t>192.6</w:t>
      </w:r>
      <w:r w:rsidRPr="003F398E">
        <w:rPr>
          <w:rFonts w:ascii="Futura Lt BT" w:eastAsia="Calibri" w:hAnsi="Futura Lt BT" w:cs="Courier New"/>
          <w:sz w:val="24"/>
          <w:szCs w:val="24"/>
          <w:lang w:val="es-MX"/>
        </w:rPr>
        <w:t xml:space="preserve"> millones), que superaron a los intereses devengados de las reservas del banco central (US$</w:t>
      </w:r>
      <w:r w:rsidR="00873452" w:rsidRPr="003F398E">
        <w:rPr>
          <w:rFonts w:ascii="Futura Lt BT" w:eastAsia="Calibri" w:hAnsi="Futura Lt BT" w:cs="Courier New"/>
          <w:sz w:val="24"/>
          <w:szCs w:val="24"/>
          <w:lang w:val="es-MX"/>
        </w:rPr>
        <w:t>120.8</w:t>
      </w:r>
      <w:r w:rsidRPr="003F398E">
        <w:rPr>
          <w:rFonts w:ascii="Futura Lt BT" w:eastAsia="Calibri" w:hAnsi="Futura Lt BT" w:cs="Courier New"/>
          <w:sz w:val="24"/>
          <w:szCs w:val="24"/>
          <w:lang w:val="es-MX"/>
        </w:rPr>
        <w:t xml:space="preserve"> millones). El déficit del ingreso primario </w:t>
      </w:r>
      <w:r w:rsidR="00DE17AF" w:rsidRPr="003F398E">
        <w:rPr>
          <w:rFonts w:ascii="Futura Lt BT" w:eastAsia="Calibri" w:hAnsi="Futura Lt BT" w:cs="Courier New"/>
          <w:sz w:val="24"/>
          <w:szCs w:val="24"/>
          <w:lang w:val="es-MX"/>
        </w:rPr>
        <w:t>aumentó</w:t>
      </w:r>
      <w:r w:rsidRPr="003F398E">
        <w:rPr>
          <w:rFonts w:ascii="Futura Lt BT" w:eastAsia="Calibri" w:hAnsi="Futura Lt BT" w:cs="Courier New"/>
          <w:sz w:val="24"/>
          <w:szCs w:val="24"/>
          <w:lang w:val="es-MX"/>
        </w:rPr>
        <w:t xml:space="preserve"> </w:t>
      </w:r>
      <w:r w:rsidR="009214D1" w:rsidRPr="003F398E">
        <w:rPr>
          <w:rFonts w:ascii="Futura Lt BT" w:eastAsia="Calibri" w:hAnsi="Futura Lt BT" w:cs="Courier New"/>
          <w:sz w:val="24"/>
          <w:szCs w:val="24"/>
          <w:lang w:val="es-MX"/>
        </w:rPr>
        <w:t>6.</w:t>
      </w:r>
      <w:r w:rsidR="006F25A1">
        <w:rPr>
          <w:rFonts w:ascii="Futura Lt BT" w:eastAsia="Calibri" w:hAnsi="Futura Lt BT" w:cs="Courier New"/>
          <w:sz w:val="24"/>
          <w:szCs w:val="24"/>
          <w:lang w:val="es-MX"/>
        </w:rPr>
        <w:t>8</w:t>
      </w:r>
      <w:r w:rsidRPr="003F398E">
        <w:rPr>
          <w:rFonts w:ascii="Futura Lt BT" w:eastAsia="Calibri" w:hAnsi="Futura Lt BT" w:cs="Courier New"/>
          <w:sz w:val="24"/>
          <w:szCs w:val="24"/>
          <w:lang w:val="es-MX"/>
        </w:rPr>
        <w:t xml:space="preserve"> por ciento (</w:t>
      </w:r>
      <w:r w:rsidR="009214D1" w:rsidRPr="003F398E">
        <w:rPr>
          <w:rFonts w:ascii="Futura Lt BT" w:eastAsia="Calibri" w:hAnsi="Futura Lt BT" w:cs="Courier New"/>
          <w:sz w:val="24"/>
          <w:szCs w:val="24"/>
          <w:lang w:val="es-MX"/>
        </w:rPr>
        <w:t>+</w:t>
      </w:r>
      <w:r w:rsidRPr="003F398E">
        <w:rPr>
          <w:rFonts w:ascii="Futura Lt BT" w:eastAsia="Calibri" w:hAnsi="Futura Lt BT" w:cs="Courier New"/>
          <w:sz w:val="24"/>
          <w:szCs w:val="24"/>
          <w:lang w:val="es-MX"/>
        </w:rPr>
        <w:t>US$</w:t>
      </w:r>
      <w:r w:rsidR="006F25A1">
        <w:rPr>
          <w:rFonts w:ascii="Futura Lt BT" w:eastAsia="Calibri" w:hAnsi="Futura Lt BT" w:cs="Courier New"/>
          <w:sz w:val="24"/>
          <w:szCs w:val="24"/>
          <w:lang w:val="es-MX"/>
        </w:rPr>
        <w:t>40.8</w:t>
      </w:r>
      <w:r w:rsidRPr="003F398E">
        <w:rPr>
          <w:rFonts w:ascii="Futura Lt BT" w:eastAsia="Calibri" w:hAnsi="Futura Lt BT" w:cs="Courier New"/>
          <w:sz w:val="24"/>
          <w:szCs w:val="24"/>
          <w:lang w:val="es-MX"/>
        </w:rPr>
        <w:t xml:space="preserve"> millones) con respecto a lo registrado en</w:t>
      </w:r>
      <w:r w:rsidR="001A5401" w:rsidRPr="003F398E">
        <w:rPr>
          <w:rFonts w:ascii="Futura Lt BT" w:eastAsia="Calibri" w:hAnsi="Futura Lt BT" w:cs="Courier New"/>
          <w:sz w:val="24"/>
          <w:szCs w:val="24"/>
          <w:lang w:val="es-MX"/>
        </w:rPr>
        <w:t xml:space="preserve"> el primer semestre</w:t>
      </w:r>
      <w:r w:rsidRPr="003F398E">
        <w:rPr>
          <w:rFonts w:ascii="Futura Lt BT" w:eastAsia="Calibri" w:hAnsi="Futura Lt BT" w:cs="Courier New"/>
          <w:sz w:val="24"/>
          <w:szCs w:val="24"/>
          <w:lang w:val="es-MX"/>
        </w:rPr>
        <w:t xml:space="preserve"> </w:t>
      </w:r>
      <w:r w:rsidR="003F398E" w:rsidRPr="003F398E">
        <w:rPr>
          <w:rFonts w:ascii="Futura Lt BT" w:eastAsia="Calibri" w:hAnsi="Futura Lt BT" w:cs="Courier New"/>
          <w:sz w:val="24"/>
          <w:szCs w:val="24"/>
          <w:lang w:val="es-MX"/>
        </w:rPr>
        <w:t xml:space="preserve">de </w:t>
      </w:r>
      <w:r w:rsidRPr="003F398E">
        <w:rPr>
          <w:rFonts w:ascii="Futura Lt BT" w:eastAsia="Calibri" w:hAnsi="Futura Lt BT" w:cs="Courier New"/>
          <w:sz w:val="24"/>
          <w:szCs w:val="24"/>
          <w:lang w:val="es-MX"/>
        </w:rPr>
        <w:t>202</w:t>
      </w:r>
      <w:r w:rsidR="001A5401" w:rsidRPr="003F398E">
        <w:rPr>
          <w:rFonts w:ascii="Futura Lt BT" w:eastAsia="Calibri" w:hAnsi="Futura Lt BT" w:cs="Courier New"/>
          <w:sz w:val="24"/>
          <w:szCs w:val="24"/>
          <w:lang w:val="es-MX"/>
        </w:rPr>
        <w:t>3</w:t>
      </w:r>
      <w:r w:rsidRPr="003F398E">
        <w:rPr>
          <w:rFonts w:ascii="Futura Lt BT" w:eastAsia="Calibri" w:hAnsi="Futura Lt BT" w:cs="Courier New"/>
          <w:sz w:val="24"/>
          <w:szCs w:val="24"/>
          <w:lang w:val="es-MX"/>
        </w:rPr>
        <w:t xml:space="preserve"> (-US$</w:t>
      </w:r>
      <w:r w:rsidR="001A5401" w:rsidRPr="003F398E">
        <w:rPr>
          <w:rFonts w:ascii="Futura Lt BT" w:eastAsia="Calibri" w:hAnsi="Futura Lt BT" w:cs="Courier New"/>
          <w:sz w:val="24"/>
          <w:szCs w:val="24"/>
          <w:lang w:val="es-MX"/>
        </w:rPr>
        <w:t>5</w:t>
      </w:r>
      <w:r w:rsidRPr="003F398E">
        <w:rPr>
          <w:rFonts w:ascii="Futura Lt BT" w:eastAsia="Calibri" w:hAnsi="Futura Lt BT" w:cs="Courier New"/>
          <w:sz w:val="24"/>
          <w:szCs w:val="24"/>
          <w:lang w:val="es-MX"/>
        </w:rPr>
        <w:t>9</w:t>
      </w:r>
      <w:r w:rsidR="001A5401" w:rsidRPr="003F398E">
        <w:rPr>
          <w:rFonts w:ascii="Futura Lt BT" w:eastAsia="Calibri" w:hAnsi="Futura Lt BT" w:cs="Courier New"/>
          <w:sz w:val="24"/>
          <w:szCs w:val="24"/>
          <w:lang w:val="es-MX"/>
        </w:rPr>
        <w:t>7</w:t>
      </w:r>
      <w:r w:rsidRPr="003F398E">
        <w:rPr>
          <w:rFonts w:ascii="Futura Lt BT" w:eastAsia="Calibri" w:hAnsi="Futura Lt BT" w:cs="Courier New"/>
          <w:sz w:val="24"/>
          <w:szCs w:val="24"/>
          <w:lang w:val="es-MX"/>
        </w:rPr>
        <w:t>.</w:t>
      </w:r>
      <w:r w:rsidR="001A5401" w:rsidRPr="003F398E">
        <w:rPr>
          <w:rFonts w:ascii="Futura Lt BT" w:eastAsia="Calibri" w:hAnsi="Futura Lt BT" w:cs="Courier New"/>
          <w:sz w:val="24"/>
          <w:szCs w:val="24"/>
          <w:lang w:val="es-MX"/>
        </w:rPr>
        <w:t>1</w:t>
      </w:r>
      <w:r w:rsidRPr="003F398E">
        <w:rPr>
          <w:rFonts w:ascii="Futura Lt BT" w:eastAsia="Calibri" w:hAnsi="Futura Lt BT" w:cs="Courier New"/>
          <w:sz w:val="24"/>
          <w:szCs w:val="24"/>
          <w:lang w:val="es-MX"/>
        </w:rPr>
        <w:t xml:space="preserve"> millones). </w:t>
      </w:r>
    </w:p>
    <w:p w:rsidR="008F02A9" w:rsidRPr="003F398E" w:rsidRDefault="008F02A9" w:rsidP="003F398E">
      <w:pPr>
        <w:spacing w:line="276" w:lineRule="auto"/>
        <w:jc w:val="both"/>
        <w:rPr>
          <w:rFonts w:ascii="Futura Lt BT" w:eastAsia="Calibri" w:hAnsi="Futura Lt BT" w:cs="Courier New"/>
          <w:sz w:val="24"/>
          <w:szCs w:val="24"/>
          <w:lang w:val="es-MX"/>
        </w:rPr>
      </w:pPr>
      <w:r w:rsidRPr="003F398E">
        <w:rPr>
          <w:rFonts w:ascii="Futura Lt BT" w:eastAsia="Calibri" w:hAnsi="Futura Lt BT" w:cs="Courier New"/>
          <w:sz w:val="24"/>
          <w:szCs w:val="24"/>
          <w:lang w:val="es-MX"/>
        </w:rPr>
        <w:t>Por su parte, el ingreso secundario reflejó un superávit de 1,</w:t>
      </w:r>
      <w:r w:rsidR="001A5401" w:rsidRPr="003F398E">
        <w:rPr>
          <w:rFonts w:ascii="Futura Lt BT" w:eastAsia="Calibri" w:hAnsi="Futura Lt BT" w:cs="Courier New"/>
          <w:sz w:val="24"/>
          <w:szCs w:val="24"/>
          <w:lang w:val="es-MX"/>
        </w:rPr>
        <w:t>3</w:t>
      </w:r>
      <w:r w:rsidR="00972052" w:rsidRPr="003F398E">
        <w:rPr>
          <w:rFonts w:ascii="Futura Lt BT" w:eastAsia="Calibri" w:hAnsi="Futura Lt BT" w:cs="Courier New"/>
          <w:sz w:val="24"/>
          <w:szCs w:val="24"/>
          <w:lang w:val="es-MX"/>
        </w:rPr>
        <w:t>00</w:t>
      </w:r>
      <w:r w:rsidRPr="003F398E">
        <w:rPr>
          <w:rFonts w:ascii="Futura Lt BT" w:eastAsia="Calibri" w:hAnsi="Futura Lt BT" w:cs="Courier New"/>
          <w:sz w:val="24"/>
          <w:szCs w:val="24"/>
          <w:lang w:val="es-MX"/>
        </w:rPr>
        <w:t>.</w:t>
      </w:r>
      <w:r w:rsidR="00972052" w:rsidRPr="003F398E">
        <w:rPr>
          <w:rFonts w:ascii="Futura Lt BT" w:eastAsia="Calibri" w:hAnsi="Futura Lt BT" w:cs="Courier New"/>
          <w:sz w:val="24"/>
          <w:szCs w:val="24"/>
          <w:lang w:val="es-MX"/>
        </w:rPr>
        <w:t>3</w:t>
      </w:r>
      <w:r w:rsidRPr="003F398E">
        <w:rPr>
          <w:rFonts w:ascii="Futura Lt BT" w:eastAsia="Calibri" w:hAnsi="Futura Lt BT" w:cs="Courier New"/>
          <w:sz w:val="24"/>
          <w:szCs w:val="24"/>
          <w:lang w:val="es-MX"/>
        </w:rPr>
        <w:t xml:space="preserve"> millones en el </w:t>
      </w:r>
      <w:r w:rsidR="001A5401" w:rsidRPr="003F398E">
        <w:rPr>
          <w:rFonts w:ascii="Futura Lt BT" w:eastAsia="Calibri" w:hAnsi="Futura Lt BT" w:cs="Courier New"/>
          <w:sz w:val="24"/>
          <w:szCs w:val="24"/>
          <w:lang w:val="es-MX"/>
        </w:rPr>
        <w:t>segundo t</w:t>
      </w:r>
      <w:r w:rsidRPr="003F398E">
        <w:rPr>
          <w:rFonts w:ascii="Futura Lt BT" w:eastAsia="Calibri" w:hAnsi="Futura Lt BT" w:cs="Courier New"/>
          <w:sz w:val="24"/>
          <w:szCs w:val="24"/>
          <w:lang w:val="es-MX"/>
        </w:rPr>
        <w:t xml:space="preserve">rimestre </w:t>
      </w:r>
      <w:r w:rsidR="003F398E" w:rsidRPr="003F398E">
        <w:rPr>
          <w:rFonts w:ascii="Futura Lt BT" w:eastAsia="Calibri" w:hAnsi="Futura Lt BT" w:cs="Courier New"/>
          <w:sz w:val="24"/>
          <w:szCs w:val="24"/>
          <w:lang w:val="es-MX"/>
        </w:rPr>
        <w:t xml:space="preserve">y acumuló un superávit de 2,407.0 millones de dólares en el </w:t>
      </w:r>
      <w:r w:rsidR="00A451C3">
        <w:rPr>
          <w:rFonts w:ascii="Futura Lt BT" w:eastAsia="Calibri" w:hAnsi="Futura Lt BT" w:cs="Courier New"/>
          <w:sz w:val="24"/>
          <w:szCs w:val="24"/>
          <w:lang w:val="es-MX"/>
        </w:rPr>
        <w:t>primer semestre del año</w:t>
      </w:r>
      <w:r w:rsidR="00F05BF8">
        <w:rPr>
          <w:rFonts w:ascii="Futura Lt BT" w:eastAsia="Calibri" w:hAnsi="Futura Lt BT" w:cs="Courier New"/>
          <w:sz w:val="24"/>
          <w:szCs w:val="24"/>
          <w:lang w:val="es-MX"/>
        </w:rPr>
        <w:t xml:space="preserve"> </w:t>
      </w:r>
      <w:r w:rsidR="00F05BF8" w:rsidRPr="003F398E">
        <w:rPr>
          <w:rFonts w:ascii="Futura Lt BT" w:eastAsia="Calibri" w:hAnsi="Futura Lt BT" w:cs="Courier New"/>
          <w:sz w:val="24"/>
          <w:szCs w:val="24"/>
          <w:lang w:val="es-MX"/>
        </w:rPr>
        <w:t>(US$2,163.3 millones en el primer semestre de 2023)</w:t>
      </w:r>
      <w:r w:rsidRPr="003F398E">
        <w:rPr>
          <w:rFonts w:ascii="Futura Lt BT" w:eastAsia="Calibri" w:hAnsi="Futura Lt BT" w:cs="Courier New"/>
          <w:sz w:val="24"/>
          <w:szCs w:val="24"/>
          <w:lang w:val="es-MX"/>
        </w:rPr>
        <w:t xml:space="preserve">, derivado principalmente </w:t>
      </w:r>
      <w:r w:rsidR="003F398E">
        <w:rPr>
          <w:rFonts w:ascii="Futura Lt BT" w:eastAsia="Calibri" w:hAnsi="Futura Lt BT" w:cs="Courier New"/>
          <w:sz w:val="24"/>
          <w:szCs w:val="24"/>
          <w:lang w:val="es-MX"/>
        </w:rPr>
        <w:t>del</w:t>
      </w:r>
      <w:r w:rsidRPr="003F398E">
        <w:rPr>
          <w:rFonts w:ascii="Futura Lt BT" w:eastAsia="Calibri" w:hAnsi="Futura Lt BT" w:cs="Courier New"/>
          <w:sz w:val="24"/>
          <w:szCs w:val="24"/>
          <w:lang w:val="es-MX"/>
        </w:rPr>
        <w:t xml:space="preserve"> dinamismo de los flujos de remesas</w:t>
      </w:r>
      <w:bookmarkEnd w:id="9"/>
      <w:r w:rsidR="00F05BF8">
        <w:rPr>
          <w:rFonts w:ascii="Futura Lt BT" w:eastAsia="Calibri" w:hAnsi="Futura Lt BT" w:cs="Courier New"/>
          <w:sz w:val="24"/>
          <w:szCs w:val="24"/>
          <w:lang w:val="es-MX"/>
        </w:rPr>
        <w:t xml:space="preserve"> que sumaron 1,336.9 millones </w:t>
      </w:r>
      <w:r w:rsidR="00A451C3">
        <w:rPr>
          <w:rFonts w:ascii="Futura Lt BT" w:eastAsia="Calibri" w:hAnsi="Futura Lt BT" w:cs="Courier New"/>
          <w:sz w:val="24"/>
          <w:szCs w:val="24"/>
          <w:lang w:val="es-MX"/>
        </w:rPr>
        <w:t xml:space="preserve">de dólares </w:t>
      </w:r>
      <w:r w:rsidR="00F05BF8">
        <w:rPr>
          <w:rFonts w:ascii="Futura Lt BT" w:eastAsia="Calibri" w:hAnsi="Futura Lt BT" w:cs="Courier New"/>
          <w:sz w:val="24"/>
          <w:szCs w:val="24"/>
          <w:lang w:val="es-MX"/>
        </w:rPr>
        <w:t>en el trimestre</w:t>
      </w:r>
      <w:r w:rsidRPr="003F398E">
        <w:rPr>
          <w:rFonts w:ascii="Futura Lt BT" w:eastAsia="Calibri" w:hAnsi="Futura Lt BT" w:cs="Courier New"/>
          <w:sz w:val="24"/>
          <w:szCs w:val="24"/>
          <w:lang w:val="es-MX"/>
        </w:rPr>
        <w:t xml:space="preserve"> </w:t>
      </w:r>
      <w:r w:rsidR="00A451C3">
        <w:rPr>
          <w:rFonts w:ascii="Futura Lt BT" w:eastAsia="Calibri" w:hAnsi="Futura Lt BT" w:cs="Courier New"/>
          <w:sz w:val="24"/>
          <w:szCs w:val="24"/>
          <w:lang w:val="es-MX"/>
        </w:rPr>
        <w:t xml:space="preserve">y de </w:t>
      </w:r>
      <w:r w:rsidR="001A5401" w:rsidRPr="003F398E">
        <w:rPr>
          <w:rFonts w:ascii="Futura Lt BT" w:eastAsia="Calibri" w:hAnsi="Futura Lt BT" w:cs="Courier New"/>
          <w:sz w:val="24"/>
          <w:szCs w:val="24"/>
          <w:lang w:val="es-MX"/>
        </w:rPr>
        <w:t>2,</w:t>
      </w:r>
      <w:r w:rsidRPr="003F398E">
        <w:rPr>
          <w:rFonts w:ascii="Futura Lt BT" w:eastAsia="Calibri" w:hAnsi="Futura Lt BT" w:cs="Courier New"/>
          <w:sz w:val="24"/>
          <w:szCs w:val="24"/>
          <w:lang w:val="es-MX"/>
        </w:rPr>
        <w:t>4</w:t>
      </w:r>
      <w:r w:rsidR="001A5401" w:rsidRPr="003F398E">
        <w:rPr>
          <w:rFonts w:ascii="Futura Lt BT" w:eastAsia="Calibri" w:hAnsi="Futura Lt BT" w:cs="Courier New"/>
          <w:sz w:val="24"/>
          <w:szCs w:val="24"/>
          <w:lang w:val="es-MX"/>
        </w:rPr>
        <w:t>77</w:t>
      </w:r>
      <w:r w:rsidRPr="003F398E">
        <w:rPr>
          <w:rFonts w:ascii="Futura Lt BT" w:eastAsia="Calibri" w:hAnsi="Futura Lt BT" w:cs="Courier New"/>
          <w:sz w:val="24"/>
          <w:szCs w:val="24"/>
          <w:lang w:val="es-MX"/>
        </w:rPr>
        <w:t>.</w:t>
      </w:r>
      <w:r w:rsidR="001A5401" w:rsidRPr="003F398E">
        <w:rPr>
          <w:rFonts w:ascii="Futura Lt BT" w:eastAsia="Calibri" w:hAnsi="Futura Lt BT" w:cs="Courier New"/>
          <w:sz w:val="24"/>
          <w:szCs w:val="24"/>
          <w:lang w:val="es-MX"/>
        </w:rPr>
        <w:t>8</w:t>
      </w:r>
      <w:r w:rsidRPr="003F398E">
        <w:rPr>
          <w:rFonts w:ascii="Futura Lt BT" w:eastAsia="Calibri" w:hAnsi="Futura Lt BT" w:cs="Courier New"/>
          <w:sz w:val="24"/>
          <w:szCs w:val="24"/>
          <w:lang w:val="es-MX"/>
        </w:rPr>
        <w:t xml:space="preserve"> millones</w:t>
      </w:r>
      <w:r w:rsidR="00F05BF8">
        <w:rPr>
          <w:rFonts w:ascii="Futura Lt BT" w:eastAsia="Calibri" w:hAnsi="Futura Lt BT" w:cs="Courier New"/>
          <w:sz w:val="24"/>
          <w:szCs w:val="24"/>
          <w:lang w:val="es-MX"/>
        </w:rPr>
        <w:t xml:space="preserve"> en el primer semestre</w:t>
      </w:r>
      <w:r w:rsidR="00A451C3">
        <w:rPr>
          <w:rFonts w:ascii="Futura Lt BT" w:eastAsia="Calibri" w:hAnsi="Futura Lt BT" w:cs="Courier New"/>
          <w:sz w:val="24"/>
          <w:szCs w:val="24"/>
          <w:lang w:val="es-MX"/>
        </w:rPr>
        <w:t xml:space="preserve">, para </w:t>
      </w:r>
      <w:r w:rsidR="00F05BF8">
        <w:rPr>
          <w:rFonts w:ascii="Futura Lt BT" w:eastAsia="Calibri" w:hAnsi="Futura Lt BT" w:cs="Courier New"/>
          <w:sz w:val="24"/>
          <w:szCs w:val="24"/>
          <w:lang w:val="es-MX"/>
        </w:rPr>
        <w:t>un crecimiento interanual de 11.9 por ciento</w:t>
      </w:r>
      <w:r w:rsidRPr="003F398E">
        <w:rPr>
          <w:rFonts w:ascii="Futura Lt BT" w:eastAsia="Calibri" w:hAnsi="Futura Lt BT" w:cs="Courier New"/>
          <w:sz w:val="24"/>
          <w:szCs w:val="24"/>
          <w:lang w:val="es-MX"/>
        </w:rPr>
        <w:t>.</w:t>
      </w:r>
    </w:p>
    <w:p w:rsidR="0026701A" w:rsidRDefault="005C2B12" w:rsidP="0026701A">
      <w:pPr>
        <w:spacing w:after="0" w:line="276" w:lineRule="auto"/>
        <w:jc w:val="both"/>
        <w:rPr>
          <w:rFonts w:ascii="Futura Lt BT" w:hAnsi="Futura Lt BT" w:cs="Courier New"/>
          <w:sz w:val="24"/>
          <w:szCs w:val="24"/>
          <w:lang w:val="es-MX"/>
        </w:rPr>
      </w:pPr>
      <w:r w:rsidRPr="002979FC">
        <w:rPr>
          <w:rFonts w:ascii="Futura Lt BT" w:hAnsi="Futura Lt BT" w:cs="Courier New"/>
          <w:sz w:val="24"/>
          <w:szCs w:val="24"/>
          <w:lang w:val="es-MX"/>
        </w:rPr>
        <w:t xml:space="preserve">Como resultado de lo anterior, </w:t>
      </w:r>
      <w:r w:rsidR="007F352D" w:rsidRPr="002979FC">
        <w:rPr>
          <w:rFonts w:ascii="Futura Lt BT" w:hAnsi="Futura Lt BT" w:cs="Courier New"/>
          <w:sz w:val="24"/>
          <w:szCs w:val="24"/>
          <w:lang w:val="es-MX"/>
        </w:rPr>
        <w:t>la cuenta corriente de la balanza de pagos reflejó un superávit de</w:t>
      </w:r>
      <w:r w:rsidR="007F1D4D">
        <w:rPr>
          <w:rFonts w:ascii="Futura Lt BT" w:hAnsi="Futura Lt BT" w:cs="Courier New"/>
          <w:sz w:val="24"/>
          <w:szCs w:val="24"/>
          <w:lang w:val="es-MX"/>
        </w:rPr>
        <w:t xml:space="preserve"> 3</w:t>
      </w:r>
      <w:r w:rsidR="006F25A1">
        <w:rPr>
          <w:rFonts w:ascii="Futura Lt BT" w:hAnsi="Futura Lt BT" w:cs="Courier New"/>
          <w:sz w:val="24"/>
          <w:szCs w:val="24"/>
          <w:lang w:val="es-MX"/>
        </w:rPr>
        <w:t>97</w:t>
      </w:r>
      <w:r w:rsidR="00500D0E" w:rsidRPr="002979FC">
        <w:rPr>
          <w:rFonts w:ascii="Futura Lt BT" w:hAnsi="Futura Lt BT" w:cs="Courier New"/>
          <w:sz w:val="24"/>
          <w:szCs w:val="24"/>
          <w:lang w:val="es-MX"/>
        </w:rPr>
        <w:t>.</w:t>
      </w:r>
      <w:r w:rsidR="004F4DCC">
        <w:rPr>
          <w:rFonts w:ascii="Futura Lt BT" w:hAnsi="Futura Lt BT" w:cs="Courier New"/>
          <w:sz w:val="24"/>
          <w:szCs w:val="24"/>
          <w:lang w:val="es-MX"/>
        </w:rPr>
        <w:t>5</w:t>
      </w:r>
      <w:r w:rsidR="00F376DC" w:rsidRPr="002979FC">
        <w:rPr>
          <w:rFonts w:ascii="Futura Lt BT" w:hAnsi="Futura Lt BT" w:cs="Courier New"/>
          <w:sz w:val="24"/>
          <w:szCs w:val="24"/>
          <w:lang w:val="es-MX"/>
        </w:rPr>
        <w:t xml:space="preserve"> </w:t>
      </w:r>
      <w:r w:rsidR="007F352D" w:rsidRPr="002979FC">
        <w:rPr>
          <w:rFonts w:ascii="Futura Lt BT" w:hAnsi="Futura Lt BT" w:cs="Courier New"/>
          <w:sz w:val="24"/>
          <w:szCs w:val="24"/>
          <w:lang w:val="es-MX"/>
        </w:rPr>
        <w:t>millones de dólares</w:t>
      </w:r>
      <w:r w:rsidR="00F05BF8" w:rsidRPr="00F05BF8">
        <w:rPr>
          <w:rFonts w:ascii="Futura Lt BT" w:hAnsi="Futura Lt BT" w:cs="Courier New"/>
          <w:sz w:val="24"/>
          <w:szCs w:val="24"/>
          <w:lang w:val="es-MX"/>
        </w:rPr>
        <w:t xml:space="preserve"> </w:t>
      </w:r>
      <w:r w:rsidR="00F05BF8">
        <w:rPr>
          <w:rFonts w:ascii="Futura Lt BT" w:hAnsi="Futura Lt BT" w:cs="Courier New"/>
          <w:sz w:val="24"/>
          <w:szCs w:val="24"/>
          <w:lang w:val="es-MX"/>
        </w:rPr>
        <w:t>en el trimestre</w:t>
      </w:r>
      <w:r w:rsidR="00634006" w:rsidRPr="002979FC">
        <w:rPr>
          <w:rFonts w:ascii="Futura Lt BT" w:hAnsi="Futura Lt BT" w:cs="Courier New"/>
          <w:sz w:val="24"/>
          <w:szCs w:val="24"/>
          <w:lang w:val="es-MX"/>
        </w:rPr>
        <w:t xml:space="preserve">, </w:t>
      </w:r>
      <w:r w:rsidR="001618C8">
        <w:rPr>
          <w:rFonts w:ascii="Futura Lt BT" w:hAnsi="Futura Lt BT" w:cs="Courier New"/>
          <w:sz w:val="24"/>
          <w:szCs w:val="24"/>
          <w:lang w:val="es-MX"/>
        </w:rPr>
        <w:t>el cual fue m</w:t>
      </w:r>
      <w:r w:rsidR="005E0FAE">
        <w:rPr>
          <w:rFonts w:ascii="Futura Lt BT" w:hAnsi="Futura Lt BT" w:cs="Courier New"/>
          <w:sz w:val="24"/>
          <w:szCs w:val="24"/>
          <w:lang w:val="es-MX"/>
        </w:rPr>
        <w:t>ay</w:t>
      </w:r>
      <w:r w:rsidR="001618C8">
        <w:rPr>
          <w:rFonts w:ascii="Futura Lt BT" w:hAnsi="Futura Lt BT" w:cs="Courier New"/>
          <w:sz w:val="24"/>
          <w:szCs w:val="24"/>
          <w:lang w:val="es-MX"/>
        </w:rPr>
        <w:t xml:space="preserve">or en </w:t>
      </w:r>
      <w:r w:rsidR="005E0FAE">
        <w:rPr>
          <w:rFonts w:ascii="Futura Lt BT" w:hAnsi="Futura Lt BT" w:cs="Courier New"/>
          <w:sz w:val="24"/>
          <w:szCs w:val="24"/>
          <w:lang w:val="es-MX"/>
        </w:rPr>
        <w:t>25.7</w:t>
      </w:r>
      <w:r w:rsidR="001618C8">
        <w:rPr>
          <w:rFonts w:ascii="Futura Lt BT" w:hAnsi="Futura Lt BT" w:cs="Courier New"/>
          <w:sz w:val="24"/>
          <w:szCs w:val="24"/>
          <w:lang w:val="es-MX"/>
        </w:rPr>
        <w:t xml:space="preserve"> millones </w:t>
      </w:r>
      <w:r w:rsidR="00F05BF8">
        <w:rPr>
          <w:rFonts w:ascii="Futura Lt BT" w:hAnsi="Futura Lt BT" w:cs="Courier New"/>
          <w:sz w:val="24"/>
          <w:szCs w:val="24"/>
          <w:lang w:val="es-MX"/>
        </w:rPr>
        <w:t xml:space="preserve">que el registrado en el </w:t>
      </w:r>
      <w:r w:rsidR="001A5AA7">
        <w:rPr>
          <w:rFonts w:ascii="Futura Lt BT" w:hAnsi="Futura Lt BT" w:cs="Courier New"/>
          <w:sz w:val="24"/>
          <w:szCs w:val="24"/>
          <w:lang w:val="es-MX"/>
        </w:rPr>
        <w:t>segundo</w:t>
      </w:r>
      <w:r w:rsidR="001618C8">
        <w:rPr>
          <w:rFonts w:ascii="Futura Lt BT" w:hAnsi="Futura Lt BT" w:cs="Courier New"/>
          <w:sz w:val="24"/>
          <w:szCs w:val="24"/>
          <w:lang w:val="es-MX"/>
        </w:rPr>
        <w:t xml:space="preserve"> trimestre de 2023 (US$3</w:t>
      </w:r>
      <w:r w:rsidR="001A5AA7">
        <w:rPr>
          <w:rFonts w:ascii="Futura Lt BT" w:hAnsi="Futura Lt BT" w:cs="Courier New"/>
          <w:sz w:val="24"/>
          <w:szCs w:val="24"/>
          <w:lang w:val="es-MX"/>
        </w:rPr>
        <w:t>71</w:t>
      </w:r>
      <w:r w:rsidR="001618C8">
        <w:rPr>
          <w:rFonts w:ascii="Futura Lt BT" w:hAnsi="Futura Lt BT" w:cs="Courier New"/>
          <w:sz w:val="24"/>
          <w:szCs w:val="24"/>
          <w:lang w:val="es-MX"/>
        </w:rPr>
        <w:t>.</w:t>
      </w:r>
      <w:r w:rsidR="001A5AA7">
        <w:rPr>
          <w:rFonts w:ascii="Futura Lt BT" w:hAnsi="Futura Lt BT" w:cs="Courier New"/>
          <w:sz w:val="24"/>
          <w:szCs w:val="24"/>
          <w:lang w:val="es-MX"/>
        </w:rPr>
        <w:t>8</w:t>
      </w:r>
      <w:r w:rsidR="001618C8">
        <w:rPr>
          <w:rFonts w:ascii="Futura Lt BT" w:hAnsi="Futura Lt BT" w:cs="Courier New"/>
          <w:sz w:val="24"/>
          <w:szCs w:val="24"/>
          <w:lang w:val="es-MX"/>
        </w:rPr>
        <w:t xml:space="preserve"> millones)</w:t>
      </w:r>
      <w:r w:rsidR="003D4CDE" w:rsidRPr="002979FC">
        <w:rPr>
          <w:rFonts w:ascii="Futura Lt BT" w:hAnsi="Futura Lt BT" w:cs="Courier New"/>
          <w:sz w:val="24"/>
          <w:szCs w:val="24"/>
          <w:lang w:val="es-MX"/>
        </w:rPr>
        <w:t>.</w:t>
      </w:r>
      <w:r w:rsidR="0026701A">
        <w:rPr>
          <w:rFonts w:ascii="Futura Lt BT" w:hAnsi="Futura Lt BT" w:cs="Courier New"/>
          <w:sz w:val="24"/>
          <w:szCs w:val="24"/>
          <w:lang w:val="es-MX"/>
        </w:rPr>
        <w:t xml:space="preserve"> </w:t>
      </w:r>
      <w:r w:rsidR="0026701A" w:rsidRPr="002979FC">
        <w:rPr>
          <w:rFonts w:ascii="Futura Lt BT" w:hAnsi="Futura Lt BT" w:cs="Courier New"/>
          <w:sz w:val="24"/>
          <w:szCs w:val="24"/>
          <w:lang w:val="es-MX"/>
        </w:rPr>
        <w:t xml:space="preserve">En términos </w:t>
      </w:r>
      <w:r w:rsidR="0026701A" w:rsidRPr="002979FC">
        <w:rPr>
          <w:rFonts w:ascii="Futura Lt BT" w:hAnsi="Futura Lt BT" w:cs="Courier New"/>
          <w:sz w:val="24"/>
          <w:szCs w:val="24"/>
          <w:lang w:val="es-MX"/>
        </w:rPr>
        <w:lastRenderedPageBreak/>
        <w:t xml:space="preserve">acumulados, la cuenta corriente fue superavitaria en </w:t>
      </w:r>
      <w:r w:rsidR="005E0FAE">
        <w:rPr>
          <w:rFonts w:ascii="Futura Lt BT" w:hAnsi="Futura Lt BT" w:cs="Courier New"/>
          <w:sz w:val="24"/>
          <w:szCs w:val="24"/>
          <w:lang w:val="es-MX"/>
        </w:rPr>
        <w:t>553.6</w:t>
      </w:r>
      <w:r w:rsidR="0026701A" w:rsidRPr="002979FC">
        <w:rPr>
          <w:rFonts w:ascii="Futura Lt BT" w:hAnsi="Futura Lt BT" w:cs="Courier New"/>
          <w:sz w:val="24"/>
          <w:szCs w:val="24"/>
          <w:lang w:val="es-MX"/>
        </w:rPr>
        <w:t xml:space="preserve"> millones de dólares </w:t>
      </w:r>
      <w:r w:rsidR="00F05BF8">
        <w:rPr>
          <w:rFonts w:ascii="Futura Lt BT" w:hAnsi="Futura Lt BT" w:cs="Courier New"/>
          <w:sz w:val="24"/>
          <w:szCs w:val="24"/>
          <w:lang w:val="es-MX"/>
        </w:rPr>
        <w:t>en el primer</w:t>
      </w:r>
      <w:r w:rsidR="00F05BF8" w:rsidRPr="002979FC">
        <w:rPr>
          <w:rFonts w:ascii="Futura Lt BT" w:hAnsi="Futura Lt BT" w:cs="Courier New"/>
          <w:sz w:val="24"/>
          <w:szCs w:val="24"/>
          <w:lang w:val="es-MX"/>
        </w:rPr>
        <w:t xml:space="preserve"> </w:t>
      </w:r>
      <w:r w:rsidR="00F05BF8">
        <w:rPr>
          <w:rFonts w:ascii="Futura Lt BT" w:hAnsi="Futura Lt BT" w:cs="Courier New"/>
          <w:sz w:val="24"/>
          <w:szCs w:val="24"/>
          <w:lang w:val="es-MX"/>
        </w:rPr>
        <w:t>semestre</w:t>
      </w:r>
      <w:r w:rsidR="00F05BF8" w:rsidRPr="002979FC">
        <w:rPr>
          <w:rFonts w:ascii="Futura Lt BT" w:hAnsi="Futura Lt BT" w:cs="Courier New"/>
          <w:sz w:val="24"/>
          <w:szCs w:val="24"/>
          <w:lang w:val="es-MX"/>
        </w:rPr>
        <w:t xml:space="preserve"> </w:t>
      </w:r>
      <w:r w:rsidR="00F05BF8">
        <w:rPr>
          <w:rFonts w:ascii="Futura Lt BT" w:hAnsi="Futura Lt BT" w:cs="Courier New"/>
          <w:sz w:val="24"/>
          <w:szCs w:val="24"/>
          <w:lang w:val="es-MX"/>
        </w:rPr>
        <w:t xml:space="preserve">de 2024 </w:t>
      </w:r>
      <w:r w:rsidR="00F05BF8" w:rsidRPr="002979FC">
        <w:rPr>
          <w:rFonts w:ascii="Futura Lt BT" w:hAnsi="Futura Lt BT" w:cs="Courier New"/>
          <w:sz w:val="24"/>
          <w:szCs w:val="24"/>
          <w:lang w:val="es-MX"/>
        </w:rPr>
        <w:t>(</w:t>
      </w:r>
      <w:r w:rsidR="00F05BF8">
        <w:rPr>
          <w:rFonts w:ascii="Futura Lt BT" w:hAnsi="Futura Lt BT" w:cs="Courier New"/>
          <w:sz w:val="24"/>
          <w:szCs w:val="24"/>
          <w:lang w:val="es-MX"/>
        </w:rPr>
        <w:t>US$835</w:t>
      </w:r>
      <w:r w:rsidR="00F05BF8" w:rsidRPr="002979FC">
        <w:rPr>
          <w:rFonts w:ascii="Futura Lt BT" w:hAnsi="Futura Lt BT" w:cs="Courier New"/>
          <w:sz w:val="24"/>
          <w:szCs w:val="24"/>
          <w:lang w:val="es-MX"/>
        </w:rPr>
        <w:t>.</w:t>
      </w:r>
      <w:r w:rsidR="00F05BF8">
        <w:rPr>
          <w:rFonts w:ascii="Futura Lt BT" w:hAnsi="Futura Lt BT" w:cs="Courier New"/>
          <w:sz w:val="24"/>
          <w:szCs w:val="24"/>
          <w:lang w:val="es-MX"/>
        </w:rPr>
        <w:t>7</w:t>
      </w:r>
      <w:r w:rsidR="00F05BF8" w:rsidRPr="002979FC">
        <w:rPr>
          <w:rFonts w:ascii="Futura Lt BT" w:hAnsi="Futura Lt BT" w:cs="Courier New"/>
          <w:sz w:val="24"/>
          <w:szCs w:val="24"/>
          <w:lang w:val="es-MX"/>
        </w:rPr>
        <w:t xml:space="preserve"> millones de dólares </w:t>
      </w:r>
      <w:r w:rsidR="00F05BF8">
        <w:rPr>
          <w:rFonts w:ascii="Futura Lt BT" w:hAnsi="Futura Lt BT" w:cs="Courier New"/>
          <w:sz w:val="24"/>
          <w:szCs w:val="24"/>
          <w:lang w:val="es-MX"/>
        </w:rPr>
        <w:t xml:space="preserve">en igual período </w:t>
      </w:r>
      <w:r w:rsidR="00F05BF8" w:rsidRPr="002979FC">
        <w:rPr>
          <w:rFonts w:ascii="Futura Lt BT" w:hAnsi="Futura Lt BT" w:cs="Courier New"/>
          <w:sz w:val="24"/>
          <w:szCs w:val="24"/>
          <w:lang w:val="es-MX"/>
        </w:rPr>
        <w:t>de</w:t>
      </w:r>
      <w:r w:rsidR="00F05BF8">
        <w:rPr>
          <w:rFonts w:ascii="Futura Lt BT" w:hAnsi="Futura Lt BT" w:cs="Courier New"/>
          <w:sz w:val="24"/>
          <w:szCs w:val="24"/>
          <w:lang w:val="es-MX"/>
        </w:rPr>
        <w:t xml:space="preserve"> 2023), </w:t>
      </w:r>
      <w:r w:rsidR="00565EA4">
        <w:rPr>
          <w:rFonts w:ascii="Futura Lt BT" w:hAnsi="Futura Lt BT" w:cs="Courier New"/>
          <w:sz w:val="24"/>
          <w:szCs w:val="24"/>
          <w:lang w:val="es-MX"/>
        </w:rPr>
        <w:t xml:space="preserve">lo que representó </w:t>
      </w:r>
      <w:r w:rsidR="007F1D4D">
        <w:rPr>
          <w:rFonts w:ascii="Futura Lt BT" w:hAnsi="Futura Lt BT" w:cs="Courier New"/>
          <w:sz w:val="24"/>
          <w:szCs w:val="24"/>
          <w:lang w:val="es-MX"/>
        </w:rPr>
        <w:t>5</w:t>
      </w:r>
      <w:r w:rsidR="00DE17AF">
        <w:rPr>
          <w:rFonts w:ascii="Futura Lt BT" w:hAnsi="Futura Lt BT" w:cs="Courier New"/>
          <w:sz w:val="24"/>
          <w:szCs w:val="24"/>
          <w:lang w:val="es-MX"/>
        </w:rPr>
        <w:t>.</w:t>
      </w:r>
      <w:r w:rsidR="005E0FAE">
        <w:rPr>
          <w:rFonts w:ascii="Futura Lt BT" w:hAnsi="Futura Lt BT" w:cs="Courier New"/>
          <w:sz w:val="24"/>
          <w:szCs w:val="24"/>
          <w:lang w:val="es-MX"/>
        </w:rPr>
        <w:t>9</w:t>
      </w:r>
      <w:r w:rsidR="00565EA4">
        <w:rPr>
          <w:rFonts w:ascii="Futura Lt BT" w:hAnsi="Futura Lt BT" w:cs="Courier New"/>
          <w:sz w:val="24"/>
          <w:szCs w:val="24"/>
          <w:lang w:val="es-MX"/>
        </w:rPr>
        <w:t xml:space="preserve"> por ciento</w:t>
      </w:r>
      <w:r w:rsidR="0026701A" w:rsidRPr="002979FC">
        <w:rPr>
          <w:rFonts w:ascii="Futura Lt BT" w:hAnsi="Futura Lt BT" w:cs="Courier New"/>
          <w:sz w:val="24"/>
          <w:szCs w:val="24"/>
          <w:lang w:val="es-MX"/>
        </w:rPr>
        <w:t xml:space="preserve"> del </w:t>
      </w:r>
      <w:r w:rsidR="00565EA4" w:rsidRPr="002979FC">
        <w:rPr>
          <w:rFonts w:ascii="Futura Lt BT" w:hAnsi="Futura Lt BT" w:cs="Courier New"/>
          <w:sz w:val="24"/>
          <w:szCs w:val="24"/>
          <w:lang w:val="es-MX"/>
        </w:rPr>
        <w:t>PIB</w:t>
      </w:r>
      <w:r w:rsidR="0026701A" w:rsidRPr="002979FC">
        <w:rPr>
          <w:rFonts w:ascii="Futura Lt BT" w:hAnsi="Futura Lt BT" w:cs="Courier New"/>
          <w:sz w:val="24"/>
          <w:szCs w:val="24"/>
          <w:lang w:val="es-MX"/>
        </w:rPr>
        <w:t>.</w:t>
      </w:r>
      <w:r w:rsidR="0026701A">
        <w:rPr>
          <w:rFonts w:ascii="Futura Lt BT" w:hAnsi="Futura Lt BT" w:cs="Courier New"/>
          <w:sz w:val="24"/>
          <w:szCs w:val="24"/>
          <w:lang w:val="es-MX"/>
        </w:rPr>
        <w:t xml:space="preserve"> Este resultado, se explica por el balance </w:t>
      </w:r>
      <w:r w:rsidR="0026701A" w:rsidRPr="002979FC">
        <w:rPr>
          <w:rFonts w:ascii="Futura Lt BT" w:hAnsi="Futura Lt BT" w:cs="Courier New"/>
          <w:sz w:val="24"/>
          <w:szCs w:val="24"/>
          <w:lang w:val="es-MX"/>
        </w:rPr>
        <w:t>positivo de la cuenta del ingreso secundario</w:t>
      </w:r>
      <w:r w:rsidR="00F05BF8">
        <w:rPr>
          <w:rFonts w:ascii="Futura Lt BT" w:hAnsi="Futura Lt BT" w:cs="Courier New"/>
          <w:sz w:val="24"/>
          <w:szCs w:val="24"/>
          <w:lang w:val="es-MX"/>
        </w:rPr>
        <w:t>,</w:t>
      </w:r>
      <w:r w:rsidR="0026701A" w:rsidRPr="00317203">
        <w:rPr>
          <w:rFonts w:ascii="Futura Lt BT" w:hAnsi="Futura Lt BT" w:cs="Courier New"/>
          <w:sz w:val="24"/>
          <w:szCs w:val="24"/>
          <w:lang w:val="es-MX"/>
        </w:rPr>
        <w:t xml:space="preserve"> que superó el déficit de la balanza comercial de bienes y servicios y el balance negativo de la cuenta del ingreso primario</w:t>
      </w:r>
      <w:r w:rsidR="00F05BF8">
        <w:rPr>
          <w:rFonts w:ascii="Futura Lt BT" w:hAnsi="Futura Lt BT" w:cs="Courier New"/>
          <w:sz w:val="24"/>
          <w:szCs w:val="24"/>
          <w:lang w:val="es-MX"/>
        </w:rPr>
        <w:t>.</w:t>
      </w:r>
      <w:r w:rsidR="0026701A" w:rsidRPr="00317203">
        <w:rPr>
          <w:rFonts w:ascii="Futura Lt BT" w:hAnsi="Futura Lt BT" w:cs="Courier New"/>
          <w:sz w:val="24"/>
          <w:szCs w:val="24"/>
          <w:lang w:val="es-MX"/>
        </w:rPr>
        <w:t xml:space="preserve"> </w:t>
      </w:r>
    </w:p>
    <w:p w:rsidR="0092754F" w:rsidRDefault="0092754F" w:rsidP="00834829">
      <w:pPr>
        <w:spacing w:after="0" w:line="276" w:lineRule="auto"/>
        <w:jc w:val="both"/>
        <w:rPr>
          <w:rFonts w:ascii="Futura Lt BT" w:hAnsi="Futura Lt BT" w:cs="Courier New"/>
          <w:sz w:val="24"/>
          <w:szCs w:val="24"/>
          <w:lang w:val="es-MX"/>
        </w:rPr>
      </w:pPr>
    </w:p>
    <w:p w:rsidR="003440D3" w:rsidRPr="00317203" w:rsidRDefault="00895612" w:rsidP="003440D3">
      <w:pPr>
        <w:pStyle w:val="Estilo2"/>
        <w:numPr>
          <w:ilvl w:val="0"/>
          <w:numId w:val="4"/>
        </w:numPr>
        <w:jc w:val="left"/>
        <w:rPr>
          <w:b w:val="0"/>
          <w:bCs w:val="0"/>
        </w:rPr>
      </w:pPr>
      <w:r>
        <w:t>Principales r</w:t>
      </w:r>
      <w:r w:rsidR="002C10A6" w:rsidRPr="00317203">
        <w:t xml:space="preserve">esultados de la </w:t>
      </w:r>
      <w:r>
        <w:t>C</w:t>
      </w:r>
      <w:r w:rsidR="002C10A6" w:rsidRPr="00317203">
        <w:t>uenta de Capital y Financiera</w:t>
      </w:r>
      <w:r w:rsidR="002C10A6" w:rsidRPr="00317203">
        <w:rPr>
          <w:rStyle w:val="Refdenotaalpie"/>
        </w:rPr>
        <w:footnoteReference w:id="3"/>
      </w:r>
    </w:p>
    <w:p w:rsidR="0015351D" w:rsidRDefault="0015351D" w:rsidP="0015351D">
      <w:pPr>
        <w:spacing w:line="276" w:lineRule="auto"/>
        <w:jc w:val="both"/>
        <w:rPr>
          <w:rFonts w:ascii="Futura Lt BT" w:eastAsia="Calibri" w:hAnsi="Futura Lt BT" w:cs="Courier New"/>
          <w:sz w:val="24"/>
          <w:szCs w:val="24"/>
          <w:lang w:val="es-MX"/>
        </w:rPr>
      </w:pPr>
    </w:p>
    <w:p w:rsidR="00EA11CB" w:rsidRPr="0015351D" w:rsidRDefault="002C10A6" w:rsidP="0015351D">
      <w:pPr>
        <w:spacing w:line="276" w:lineRule="auto"/>
        <w:jc w:val="both"/>
        <w:rPr>
          <w:rFonts w:ascii="Futura Lt BT" w:eastAsia="Calibri" w:hAnsi="Futura Lt BT" w:cs="Courier New"/>
          <w:sz w:val="24"/>
          <w:szCs w:val="24"/>
          <w:lang w:val="es-MX"/>
        </w:rPr>
      </w:pPr>
      <w:r w:rsidRPr="0015351D">
        <w:rPr>
          <w:rFonts w:ascii="Futura Lt BT" w:eastAsia="Calibri" w:hAnsi="Futura Lt BT" w:cs="Courier New"/>
          <w:sz w:val="24"/>
          <w:szCs w:val="24"/>
          <w:lang w:val="es-MX"/>
        </w:rPr>
        <w:t xml:space="preserve">La cuenta de capital presentó un superávit </w:t>
      </w:r>
      <w:bookmarkStart w:id="10" w:name="_Hlk51159141"/>
      <w:r w:rsidRPr="0015351D">
        <w:rPr>
          <w:rFonts w:ascii="Futura Lt BT" w:eastAsia="Calibri" w:hAnsi="Futura Lt BT" w:cs="Courier New"/>
          <w:sz w:val="24"/>
          <w:szCs w:val="24"/>
          <w:lang w:val="es-MX"/>
        </w:rPr>
        <w:t xml:space="preserve">de </w:t>
      </w:r>
      <w:r w:rsidR="0054695A" w:rsidRPr="0015351D">
        <w:rPr>
          <w:rFonts w:ascii="Futura Lt BT" w:eastAsia="Calibri" w:hAnsi="Futura Lt BT" w:cs="Courier New"/>
          <w:sz w:val="24"/>
          <w:szCs w:val="24"/>
          <w:lang w:val="es-MX"/>
        </w:rPr>
        <w:t>1</w:t>
      </w:r>
      <w:r w:rsidR="001A5AA7" w:rsidRPr="0015351D">
        <w:rPr>
          <w:rFonts w:ascii="Futura Lt BT" w:eastAsia="Calibri" w:hAnsi="Futura Lt BT" w:cs="Courier New"/>
          <w:sz w:val="24"/>
          <w:szCs w:val="24"/>
          <w:lang w:val="es-MX"/>
        </w:rPr>
        <w:t>3</w:t>
      </w:r>
      <w:r w:rsidRPr="0015351D">
        <w:rPr>
          <w:rFonts w:ascii="Futura Lt BT" w:eastAsia="Calibri" w:hAnsi="Futura Lt BT" w:cs="Courier New"/>
          <w:sz w:val="24"/>
          <w:szCs w:val="24"/>
          <w:lang w:val="es-MX"/>
        </w:rPr>
        <w:t>.</w:t>
      </w:r>
      <w:r w:rsidR="001A5AA7" w:rsidRPr="0015351D">
        <w:rPr>
          <w:rFonts w:ascii="Futura Lt BT" w:eastAsia="Calibri" w:hAnsi="Futura Lt BT" w:cs="Courier New"/>
          <w:sz w:val="24"/>
          <w:szCs w:val="24"/>
          <w:lang w:val="es-MX"/>
        </w:rPr>
        <w:t>5</w:t>
      </w:r>
      <w:r w:rsidRPr="0015351D">
        <w:rPr>
          <w:rFonts w:ascii="Futura Lt BT" w:eastAsia="Calibri" w:hAnsi="Futura Lt BT" w:cs="Courier New"/>
          <w:sz w:val="24"/>
          <w:szCs w:val="24"/>
          <w:lang w:val="es-MX"/>
        </w:rPr>
        <w:t xml:space="preserve"> mill</w:t>
      </w:r>
      <w:r w:rsidR="001A5AA7" w:rsidRPr="0015351D">
        <w:rPr>
          <w:rFonts w:ascii="Futura Lt BT" w:eastAsia="Calibri" w:hAnsi="Futura Lt BT" w:cs="Courier New"/>
          <w:sz w:val="24"/>
          <w:szCs w:val="24"/>
          <w:lang w:val="es-MX"/>
        </w:rPr>
        <w:t>o</w:t>
      </w:r>
      <w:r w:rsidR="0098697C" w:rsidRPr="0015351D">
        <w:rPr>
          <w:rFonts w:ascii="Futura Lt BT" w:eastAsia="Calibri" w:hAnsi="Futura Lt BT" w:cs="Courier New"/>
          <w:sz w:val="24"/>
          <w:szCs w:val="24"/>
          <w:lang w:val="es-MX"/>
        </w:rPr>
        <w:t>n</w:t>
      </w:r>
      <w:r w:rsidR="001A5AA7" w:rsidRPr="0015351D">
        <w:rPr>
          <w:rFonts w:ascii="Futura Lt BT" w:eastAsia="Calibri" w:hAnsi="Futura Lt BT" w:cs="Courier New"/>
          <w:sz w:val="24"/>
          <w:szCs w:val="24"/>
          <w:lang w:val="es-MX"/>
        </w:rPr>
        <w:t>es</w:t>
      </w:r>
      <w:r w:rsidRPr="0015351D">
        <w:rPr>
          <w:rFonts w:ascii="Futura Lt BT" w:eastAsia="Calibri" w:hAnsi="Futura Lt BT" w:cs="Courier New"/>
          <w:sz w:val="24"/>
          <w:szCs w:val="24"/>
          <w:lang w:val="es-MX"/>
        </w:rPr>
        <w:t xml:space="preserve"> de dólares </w:t>
      </w:r>
      <w:r w:rsidR="00F05BF8" w:rsidRPr="0015351D">
        <w:rPr>
          <w:rFonts w:ascii="Futura Lt BT" w:eastAsia="Calibri" w:hAnsi="Futura Lt BT" w:cs="Courier New"/>
          <w:sz w:val="24"/>
          <w:szCs w:val="24"/>
          <w:lang w:val="es-MX"/>
        </w:rPr>
        <w:t xml:space="preserve">en el segundo trimestre </w:t>
      </w:r>
      <w:r w:rsidRPr="0015351D">
        <w:rPr>
          <w:rFonts w:ascii="Futura Lt BT" w:eastAsia="Calibri" w:hAnsi="Futura Lt BT" w:cs="Courier New"/>
          <w:sz w:val="24"/>
          <w:szCs w:val="24"/>
          <w:lang w:val="es-MX"/>
        </w:rPr>
        <w:t>(US$</w:t>
      </w:r>
      <w:r w:rsidR="001A5AA7" w:rsidRPr="0015351D">
        <w:rPr>
          <w:rFonts w:ascii="Futura Lt BT" w:eastAsia="Calibri" w:hAnsi="Futura Lt BT" w:cs="Courier New"/>
          <w:sz w:val="24"/>
          <w:szCs w:val="24"/>
          <w:lang w:val="es-MX"/>
        </w:rPr>
        <w:t>8</w:t>
      </w:r>
      <w:r w:rsidR="0019193E" w:rsidRPr="0015351D">
        <w:rPr>
          <w:rFonts w:ascii="Futura Lt BT" w:eastAsia="Calibri" w:hAnsi="Futura Lt BT" w:cs="Courier New"/>
          <w:sz w:val="24"/>
          <w:szCs w:val="24"/>
          <w:lang w:val="es-MX"/>
        </w:rPr>
        <w:t>.</w:t>
      </w:r>
      <w:r w:rsidR="001A5AA7" w:rsidRPr="0015351D">
        <w:rPr>
          <w:rFonts w:ascii="Futura Lt BT" w:eastAsia="Calibri" w:hAnsi="Futura Lt BT" w:cs="Courier New"/>
          <w:sz w:val="24"/>
          <w:szCs w:val="24"/>
          <w:lang w:val="es-MX"/>
        </w:rPr>
        <w:t>1</w:t>
      </w:r>
      <w:r w:rsidRPr="0015351D">
        <w:rPr>
          <w:rFonts w:ascii="Futura Lt BT" w:eastAsia="Calibri" w:hAnsi="Futura Lt BT" w:cs="Courier New"/>
          <w:sz w:val="24"/>
          <w:szCs w:val="24"/>
          <w:lang w:val="es-MX"/>
        </w:rPr>
        <w:t xml:space="preserve"> millones en </w:t>
      </w:r>
      <w:r w:rsidR="001A5AA7" w:rsidRPr="0015351D">
        <w:rPr>
          <w:rFonts w:ascii="Futura Lt BT" w:eastAsia="Calibri" w:hAnsi="Futura Lt BT" w:cs="Courier New"/>
          <w:sz w:val="24"/>
          <w:szCs w:val="24"/>
          <w:lang w:val="es-MX"/>
        </w:rPr>
        <w:t>I</w:t>
      </w:r>
      <w:r w:rsidR="00022E6E" w:rsidRPr="0015351D">
        <w:rPr>
          <w:rFonts w:ascii="Futura Lt BT" w:eastAsia="Calibri" w:hAnsi="Futura Lt BT" w:cs="Courier New"/>
          <w:sz w:val="24"/>
          <w:szCs w:val="24"/>
          <w:lang w:val="es-MX"/>
        </w:rPr>
        <w:t xml:space="preserve">I trimestre </w:t>
      </w:r>
      <w:r w:rsidR="00F05BF8" w:rsidRPr="0015351D">
        <w:rPr>
          <w:rFonts w:ascii="Futura Lt BT" w:eastAsia="Calibri" w:hAnsi="Futura Lt BT" w:cs="Courier New"/>
          <w:sz w:val="24"/>
          <w:szCs w:val="24"/>
          <w:lang w:val="es-MX"/>
        </w:rPr>
        <w:t xml:space="preserve">de </w:t>
      </w:r>
      <w:r w:rsidRPr="0015351D">
        <w:rPr>
          <w:rFonts w:ascii="Futura Lt BT" w:eastAsia="Calibri" w:hAnsi="Futura Lt BT" w:cs="Courier New"/>
          <w:sz w:val="24"/>
          <w:szCs w:val="24"/>
          <w:lang w:val="es-MX"/>
        </w:rPr>
        <w:t>202</w:t>
      </w:r>
      <w:r w:rsidR="0098697C" w:rsidRPr="0015351D">
        <w:rPr>
          <w:rFonts w:ascii="Futura Lt BT" w:eastAsia="Calibri" w:hAnsi="Futura Lt BT" w:cs="Courier New"/>
          <w:sz w:val="24"/>
          <w:szCs w:val="24"/>
          <w:lang w:val="es-MX"/>
        </w:rPr>
        <w:t>3</w:t>
      </w:r>
      <w:r w:rsidRPr="0015351D">
        <w:rPr>
          <w:rFonts w:ascii="Futura Lt BT" w:eastAsia="Calibri" w:hAnsi="Futura Lt BT" w:cs="Courier New"/>
          <w:sz w:val="24"/>
          <w:szCs w:val="24"/>
          <w:lang w:val="es-MX"/>
        </w:rPr>
        <w:t xml:space="preserve">), como resultado del ingreso de transferencias netas de capital (donaciones) </w:t>
      </w:r>
      <w:r w:rsidR="001618C8" w:rsidRPr="0015351D">
        <w:rPr>
          <w:rFonts w:ascii="Futura Lt BT" w:eastAsia="Calibri" w:hAnsi="Futura Lt BT" w:cs="Courier New"/>
          <w:sz w:val="24"/>
          <w:szCs w:val="24"/>
          <w:lang w:val="es-MX"/>
        </w:rPr>
        <w:t>dirigidas</w:t>
      </w:r>
      <w:r w:rsidR="001A5AA7" w:rsidRPr="0015351D">
        <w:rPr>
          <w:rFonts w:ascii="Futura Lt BT" w:eastAsia="Calibri" w:hAnsi="Futura Lt BT" w:cs="Courier New"/>
          <w:sz w:val="24"/>
          <w:szCs w:val="24"/>
          <w:lang w:val="es-MX"/>
        </w:rPr>
        <w:t xml:space="preserve"> </w:t>
      </w:r>
      <w:r w:rsidR="00F05BF8" w:rsidRPr="0015351D">
        <w:rPr>
          <w:rFonts w:ascii="Futura Lt BT" w:eastAsia="Calibri" w:hAnsi="Futura Lt BT" w:cs="Courier New"/>
          <w:sz w:val="24"/>
          <w:szCs w:val="24"/>
          <w:lang w:val="es-MX"/>
        </w:rPr>
        <w:t>en su mayoría</w:t>
      </w:r>
      <w:r w:rsidR="001618C8" w:rsidRPr="0015351D">
        <w:rPr>
          <w:rFonts w:ascii="Futura Lt BT" w:eastAsia="Calibri" w:hAnsi="Futura Lt BT" w:cs="Courier New"/>
          <w:sz w:val="24"/>
          <w:szCs w:val="24"/>
          <w:lang w:val="es-MX"/>
        </w:rPr>
        <w:t xml:space="preserve"> al </w:t>
      </w:r>
      <w:bookmarkEnd w:id="10"/>
      <w:r w:rsidR="004E5F61" w:rsidRPr="0015351D">
        <w:rPr>
          <w:rFonts w:ascii="Futura Lt BT" w:eastAsia="Calibri" w:hAnsi="Futura Lt BT" w:cs="Courier New"/>
          <w:sz w:val="24"/>
          <w:szCs w:val="24"/>
          <w:lang w:val="es-MX"/>
        </w:rPr>
        <w:t>Gobierno</w:t>
      </w:r>
      <w:r w:rsidR="00F05BF8" w:rsidRPr="0015351D">
        <w:rPr>
          <w:rFonts w:ascii="Futura Lt BT" w:eastAsia="Calibri" w:hAnsi="Futura Lt BT" w:cs="Courier New"/>
          <w:sz w:val="24"/>
          <w:szCs w:val="24"/>
          <w:lang w:val="es-MX"/>
        </w:rPr>
        <w:t xml:space="preserve"> Central</w:t>
      </w:r>
      <w:r w:rsidR="001618C8" w:rsidRPr="0015351D">
        <w:rPr>
          <w:rFonts w:ascii="Futura Lt BT" w:eastAsia="Calibri" w:hAnsi="Futura Lt BT" w:cs="Courier New"/>
          <w:sz w:val="24"/>
          <w:szCs w:val="24"/>
          <w:lang w:val="es-MX"/>
        </w:rPr>
        <w:t>.</w:t>
      </w:r>
      <w:bookmarkStart w:id="11" w:name="_Hlk98755900"/>
    </w:p>
    <w:p w:rsidR="002C10A6" w:rsidRPr="0015351D" w:rsidRDefault="002C10A6" w:rsidP="0015351D">
      <w:pPr>
        <w:spacing w:line="276" w:lineRule="auto"/>
        <w:jc w:val="both"/>
        <w:rPr>
          <w:rFonts w:ascii="Futura Lt BT" w:eastAsia="Calibri" w:hAnsi="Futura Lt BT" w:cs="Courier New"/>
          <w:sz w:val="24"/>
          <w:szCs w:val="24"/>
          <w:lang w:val="es-MX"/>
        </w:rPr>
      </w:pPr>
      <w:r w:rsidRPr="0015351D">
        <w:rPr>
          <w:rFonts w:ascii="Futura Lt BT" w:eastAsia="Calibri" w:hAnsi="Futura Lt BT" w:cs="Courier New"/>
          <w:sz w:val="24"/>
          <w:szCs w:val="24"/>
          <w:lang w:val="es-MX"/>
        </w:rPr>
        <w:t xml:space="preserve">Por su parte, la cuenta financiera </w:t>
      </w:r>
      <w:r w:rsidR="0015351D">
        <w:rPr>
          <w:rFonts w:ascii="Futura Lt BT" w:eastAsia="Calibri" w:hAnsi="Futura Lt BT" w:cs="Courier New"/>
          <w:sz w:val="24"/>
          <w:szCs w:val="24"/>
          <w:lang w:val="es-MX"/>
        </w:rPr>
        <w:t>registró</w:t>
      </w:r>
      <w:r w:rsidRPr="0015351D">
        <w:rPr>
          <w:rFonts w:ascii="Futura Lt BT" w:eastAsia="Calibri" w:hAnsi="Futura Lt BT" w:cs="Courier New"/>
          <w:sz w:val="24"/>
          <w:szCs w:val="24"/>
          <w:lang w:val="es-MX"/>
        </w:rPr>
        <w:t xml:space="preserve"> un </w:t>
      </w:r>
      <w:r w:rsidR="00CB789F" w:rsidRPr="0015351D">
        <w:rPr>
          <w:rFonts w:ascii="Futura Lt BT" w:eastAsia="Calibri" w:hAnsi="Futura Lt BT" w:cs="Courier New"/>
          <w:sz w:val="24"/>
          <w:szCs w:val="24"/>
          <w:lang w:val="es-MX"/>
        </w:rPr>
        <w:t>flujo</w:t>
      </w:r>
      <w:r w:rsidR="00BE21F1" w:rsidRPr="0015351D">
        <w:rPr>
          <w:rFonts w:ascii="Futura Lt BT" w:eastAsia="Calibri" w:hAnsi="Futura Lt BT" w:cs="Courier New"/>
          <w:sz w:val="24"/>
          <w:szCs w:val="24"/>
          <w:lang w:val="es-MX"/>
        </w:rPr>
        <w:t xml:space="preserve"> </w:t>
      </w:r>
      <w:r w:rsidR="00EF606E" w:rsidRPr="0015351D">
        <w:rPr>
          <w:rFonts w:ascii="Futura Lt BT" w:eastAsia="Calibri" w:hAnsi="Futura Lt BT" w:cs="Courier New"/>
          <w:sz w:val="24"/>
          <w:szCs w:val="24"/>
          <w:lang w:val="es-MX"/>
        </w:rPr>
        <w:t>negativo</w:t>
      </w:r>
      <w:r w:rsidRPr="0015351D">
        <w:rPr>
          <w:rFonts w:ascii="Futura Lt BT" w:eastAsia="Calibri" w:hAnsi="Futura Lt BT" w:cs="Courier New"/>
          <w:sz w:val="24"/>
          <w:szCs w:val="24"/>
          <w:lang w:val="es-MX"/>
        </w:rPr>
        <w:t xml:space="preserve"> de </w:t>
      </w:r>
      <w:r w:rsidR="005E0FAE">
        <w:rPr>
          <w:rFonts w:ascii="Futura Lt BT" w:eastAsia="Calibri" w:hAnsi="Futura Lt BT" w:cs="Courier New"/>
          <w:sz w:val="24"/>
          <w:szCs w:val="24"/>
          <w:lang w:val="es-MX"/>
        </w:rPr>
        <w:t>83.9</w:t>
      </w:r>
      <w:r w:rsidRPr="0015351D">
        <w:rPr>
          <w:rFonts w:ascii="Futura Lt BT" w:eastAsia="Calibri" w:hAnsi="Futura Lt BT" w:cs="Courier New"/>
          <w:sz w:val="24"/>
          <w:szCs w:val="24"/>
          <w:lang w:val="es-MX"/>
        </w:rPr>
        <w:t xml:space="preserve"> millones de dólares</w:t>
      </w:r>
      <w:r w:rsidR="0015351D" w:rsidRPr="0015351D">
        <w:rPr>
          <w:rFonts w:ascii="Futura Lt BT" w:eastAsia="Calibri" w:hAnsi="Futura Lt BT" w:cs="Courier New"/>
          <w:sz w:val="24"/>
          <w:szCs w:val="24"/>
          <w:lang w:val="es-MX"/>
        </w:rPr>
        <w:t xml:space="preserve"> en el trimestre</w:t>
      </w:r>
      <w:r w:rsidR="000E5ABF" w:rsidRPr="0015351D">
        <w:rPr>
          <w:rFonts w:ascii="Futura Lt BT" w:eastAsia="Calibri" w:hAnsi="Futura Lt BT" w:cs="Courier New"/>
          <w:sz w:val="24"/>
          <w:szCs w:val="24"/>
          <w:lang w:val="es-MX"/>
        </w:rPr>
        <w:t xml:space="preserve">, </w:t>
      </w:r>
      <w:bookmarkStart w:id="12" w:name="_Hlk149305799"/>
      <w:bookmarkEnd w:id="11"/>
      <w:r w:rsidR="0056509C" w:rsidRPr="0015351D">
        <w:rPr>
          <w:rFonts w:ascii="Futura Lt BT" w:eastAsia="Calibri" w:hAnsi="Futura Lt BT" w:cs="Courier New"/>
          <w:sz w:val="24"/>
          <w:szCs w:val="24"/>
          <w:lang w:val="es-MX"/>
        </w:rPr>
        <w:t xml:space="preserve">y acumuló un saldo negativo de </w:t>
      </w:r>
      <w:r w:rsidR="0048173F" w:rsidRPr="0015351D">
        <w:rPr>
          <w:rFonts w:ascii="Futura Lt BT" w:eastAsia="Calibri" w:hAnsi="Futura Lt BT" w:cs="Courier New"/>
          <w:sz w:val="24"/>
          <w:szCs w:val="24"/>
          <w:lang w:val="es-MX"/>
        </w:rPr>
        <w:t>3</w:t>
      </w:r>
      <w:r w:rsidR="005E0FAE">
        <w:rPr>
          <w:rFonts w:ascii="Futura Lt BT" w:eastAsia="Calibri" w:hAnsi="Futura Lt BT" w:cs="Courier New"/>
          <w:sz w:val="24"/>
          <w:szCs w:val="24"/>
          <w:lang w:val="es-MX"/>
        </w:rPr>
        <w:t>41.6</w:t>
      </w:r>
      <w:r w:rsidR="0056509C" w:rsidRPr="0015351D">
        <w:rPr>
          <w:rFonts w:ascii="Futura Lt BT" w:eastAsia="Calibri" w:hAnsi="Futura Lt BT" w:cs="Courier New"/>
          <w:sz w:val="24"/>
          <w:szCs w:val="24"/>
          <w:lang w:val="es-MX"/>
        </w:rPr>
        <w:t xml:space="preserve"> millones de dólares en </w:t>
      </w:r>
      <w:r w:rsidR="0048173F" w:rsidRPr="0015351D">
        <w:rPr>
          <w:rFonts w:ascii="Futura Lt BT" w:eastAsia="Calibri" w:hAnsi="Futura Lt BT" w:cs="Courier New"/>
          <w:sz w:val="24"/>
          <w:szCs w:val="24"/>
          <w:lang w:val="es-MX"/>
        </w:rPr>
        <w:t xml:space="preserve">el primer semestre </w:t>
      </w:r>
      <w:r w:rsidR="0015351D">
        <w:rPr>
          <w:rFonts w:ascii="Futura Lt BT" w:eastAsia="Calibri" w:hAnsi="Futura Lt BT" w:cs="Courier New"/>
          <w:sz w:val="24"/>
          <w:szCs w:val="24"/>
          <w:lang w:val="es-MX"/>
        </w:rPr>
        <w:t xml:space="preserve">de </w:t>
      </w:r>
      <w:r w:rsidR="0056509C" w:rsidRPr="0015351D">
        <w:rPr>
          <w:rFonts w:ascii="Futura Lt BT" w:eastAsia="Calibri" w:hAnsi="Futura Lt BT" w:cs="Courier New"/>
          <w:sz w:val="24"/>
          <w:szCs w:val="24"/>
          <w:lang w:val="es-MX"/>
        </w:rPr>
        <w:t>202</w:t>
      </w:r>
      <w:r w:rsidR="0048173F" w:rsidRPr="0015351D">
        <w:rPr>
          <w:rFonts w:ascii="Futura Lt BT" w:eastAsia="Calibri" w:hAnsi="Futura Lt BT" w:cs="Courier New"/>
          <w:sz w:val="24"/>
          <w:szCs w:val="24"/>
          <w:lang w:val="es-MX"/>
        </w:rPr>
        <w:t>4</w:t>
      </w:r>
      <w:r w:rsidR="0056509C" w:rsidRPr="0015351D">
        <w:rPr>
          <w:rFonts w:ascii="Futura Lt BT" w:eastAsia="Calibri" w:hAnsi="Futura Lt BT" w:cs="Courier New"/>
          <w:sz w:val="24"/>
          <w:szCs w:val="24"/>
          <w:lang w:val="es-MX"/>
        </w:rPr>
        <w:t>. Est</w:t>
      </w:r>
      <w:r w:rsidR="00A451C3">
        <w:rPr>
          <w:rFonts w:ascii="Futura Lt BT" w:eastAsia="Calibri" w:hAnsi="Futura Lt BT" w:cs="Courier New"/>
          <w:sz w:val="24"/>
          <w:szCs w:val="24"/>
          <w:lang w:val="es-MX"/>
        </w:rPr>
        <w:t>os</w:t>
      </w:r>
      <w:r w:rsidR="0056509C" w:rsidRPr="0015351D">
        <w:rPr>
          <w:rFonts w:ascii="Futura Lt BT" w:eastAsia="Calibri" w:hAnsi="Futura Lt BT" w:cs="Courier New"/>
          <w:sz w:val="24"/>
          <w:szCs w:val="24"/>
          <w:lang w:val="es-MX"/>
        </w:rPr>
        <w:t xml:space="preserve"> resultado</w:t>
      </w:r>
      <w:r w:rsidR="00A451C3">
        <w:rPr>
          <w:rFonts w:ascii="Futura Lt BT" w:eastAsia="Calibri" w:hAnsi="Futura Lt BT" w:cs="Courier New"/>
          <w:sz w:val="24"/>
          <w:szCs w:val="24"/>
          <w:lang w:val="es-MX"/>
        </w:rPr>
        <w:t>s</w:t>
      </w:r>
      <w:r w:rsidR="0056509C" w:rsidRPr="0015351D">
        <w:rPr>
          <w:rFonts w:ascii="Futura Lt BT" w:eastAsia="Calibri" w:hAnsi="Futura Lt BT" w:cs="Courier New"/>
          <w:sz w:val="24"/>
          <w:szCs w:val="24"/>
          <w:lang w:val="es-MX"/>
        </w:rPr>
        <w:t xml:space="preserve"> signific</w:t>
      </w:r>
      <w:r w:rsidR="00A451C3">
        <w:rPr>
          <w:rFonts w:ascii="Futura Lt BT" w:eastAsia="Calibri" w:hAnsi="Futura Lt BT" w:cs="Courier New"/>
          <w:sz w:val="24"/>
          <w:szCs w:val="24"/>
          <w:lang w:val="es-MX"/>
        </w:rPr>
        <w:t xml:space="preserve">aron </w:t>
      </w:r>
      <w:r w:rsidR="003551E7">
        <w:rPr>
          <w:rFonts w:ascii="Futura Lt BT" w:eastAsia="Calibri" w:hAnsi="Futura Lt BT" w:cs="Courier New"/>
          <w:sz w:val="24"/>
          <w:szCs w:val="24"/>
          <w:lang w:val="es-MX"/>
        </w:rPr>
        <w:t xml:space="preserve">flujos </w:t>
      </w:r>
      <w:r w:rsidR="0056509C" w:rsidRPr="0015351D">
        <w:rPr>
          <w:rFonts w:ascii="Futura Lt BT" w:eastAsia="Calibri" w:hAnsi="Futura Lt BT" w:cs="Courier New"/>
          <w:sz w:val="24"/>
          <w:szCs w:val="24"/>
          <w:lang w:val="es-MX"/>
        </w:rPr>
        <w:t>netos de capital desde el exterior hacia la economía nicaragüense</w:t>
      </w:r>
      <w:r w:rsidR="003551E7">
        <w:rPr>
          <w:rFonts w:ascii="Futura Lt BT" w:eastAsia="Calibri" w:hAnsi="Futura Lt BT" w:cs="Courier New"/>
          <w:sz w:val="24"/>
          <w:szCs w:val="24"/>
          <w:lang w:val="es-MX"/>
        </w:rPr>
        <w:t xml:space="preserve"> (endeudamiento neto)</w:t>
      </w:r>
      <w:r w:rsidR="0056509C" w:rsidRPr="0015351D">
        <w:rPr>
          <w:rFonts w:ascii="Futura Lt BT" w:eastAsia="Calibri" w:hAnsi="Futura Lt BT" w:cs="Courier New"/>
          <w:sz w:val="24"/>
          <w:szCs w:val="24"/>
          <w:lang w:val="es-MX"/>
        </w:rPr>
        <w:t xml:space="preserve">, </w:t>
      </w:r>
      <w:r w:rsidR="00DB5DA0" w:rsidRPr="0015351D">
        <w:rPr>
          <w:rFonts w:ascii="Futura Lt BT" w:eastAsia="Calibri" w:hAnsi="Futura Lt BT" w:cs="Courier New"/>
          <w:sz w:val="24"/>
          <w:szCs w:val="24"/>
          <w:lang w:val="es-MX"/>
        </w:rPr>
        <w:t>contrario a lo observado en igual período d</w:t>
      </w:r>
      <w:r w:rsidR="0056509C" w:rsidRPr="0015351D">
        <w:rPr>
          <w:rFonts w:ascii="Futura Lt BT" w:eastAsia="Calibri" w:hAnsi="Futura Lt BT" w:cs="Courier New"/>
          <w:sz w:val="24"/>
          <w:szCs w:val="24"/>
          <w:lang w:val="es-MX"/>
        </w:rPr>
        <w:t>el año pasado</w:t>
      </w:r>
      <w:r w:rsidR="0015351D">
        <w:rPr>
          <w:rFonts w:ascii="Futura Lt BT" w:eastAsia="Calibri" w:hAnsi="Futura Lt BT" w:cs="Courier New"/>
          <w:sz w:val="24"/>
          <w:szCs w:val="24"/>
          <w:lang w:val="es-MX"/>
        </w:rPr>
        <w:t xml:space="preserve"> (préstamos netos)</w:t>
      </w:r>
      <w:r w:rsidR="0056509C" w:rsidRPr="0015351D">
        <w:rPr>
          <w:rFonts w:ascii="Futura Lt BT" w:eastAsia="Calibri" w:hAnsi="Futura Lt BT" w:cs="Courier New"/>
          <w:sz w:val="24"/>
          <w:szCs w:val="24"/>
          <w:lang w:val="es-MX"/>
        </w:rPr>
        <w:t>.</w:t>
      </w:r>
    </w:p>
    <w:bookmarkEnd w:id="12"/>
    <w:p w:rsidR="00D01FA1" w:rsidRPr="0015351D" w:rsidRDefault="00D846CA" w:rsidP="0015351D">
      <w:pPr>
        <w:spacing w:line="276" w:lineRule="auto"/>
        <w:jc w:val="both"/>
        <w:rPr>
          <w:rFonts w:ascii="Futura Lt BT" w:eastAsia="Calibri" w:hAnsi="Futura Lt BT" w:cs="Courier New"/>
          <w:sz w:val="24"/>
          <w:szCs w:val="24"/>
          <w:lang w:val="es-MX"/>
        </w:rPr>
      </w:pPr>
      <w:r w:rsidRPr="0015351D">
        <w:rPr>
          <w:rFonts w:ascii="Futura Lt BT" w:eastAsia="Calibri" w:hAnsi="Futura Lt BT" w:cs="Courier New"/>
          <w:sz w:val="24"/>
          <w:szCs w:val="24"/>
          <w:lang w:val="es-MX"/>
        </w:rPr>
        <w:t xml:space="preserve">Entre los movimientos de </w:t>
      </w:r>
      <w:r w:rsidR="000E5ABF" w:rsidRPr="0015351D">
        <w:rPr>
          <w:rFonts w:ascii="Futura Lt BT" w:eastAsia="Calibri" w:hAnsi="Futura Lt BT" w:cs="Courier New"/>
          <w:sz w:val="24"/>
          <w:szCs w:val="24"/>
          <w:lang w:val="es-MX"/>
        </w:rPr>
        <w:t xml:space="preserve">la cuenta </w:t>
      </w:r>
      <w:r w:rsidRPr="0015351D">
        <w:rPr>
          <w:rFonts w:ascii="Futura Lt BT" w:eastAsia="Calibri" w:hAnsi="Futura Lt BT" w:cs="Courier New"/>
          <w:sz w:val="24"/>
          <w:szCs w:val="24"/>
          <w:lang w:val="es-MX"/>
        </w:rPr>
        <w:t>financier</w:t>
      </w:r>
      <w:r w:rsidR="000E5ABF" w:rsidRPr="0015351D">
        <w:rPr>
          <w:rFonts w:ascii="Futura Lt BT" w:eastAsia="Calibri" w:hAnsi="Futura Lt BT" w:cs="Courier New"/>
          <w:sz w:val="24"/>
          <w:szCs w:val="24"/>
          <w:lang w:val="es-MX"/>
        </w:rPr>
        <w:t>a</w:t>
      </w:r>
      <w:r w:rsidRPr="0015351D">
        <w:rPr>
          <w:rFonts w:ascii="Futura Lt BT" w:eastAsia="Calibri" w:hAnsi="Futura Lt BT" w:cs="Courier New"/>
          <w:sz w:val="24"/>
          <w:szCs w:val="24"/>
          <w:lang w:val="es-MX"/>
        </w:rPr>
        <w:t xml:space="preserve"> </w:t>
      </w:r>
      <w:r w:rsidR="0015351D">
        <w:rPr>
          <w:rFonts w:ascii="Futura Lt BT" w:eastAsia="Calibri" w:hAnsi="Futura Lt BT" w:cs="Courier New"/>
          <w:sz w:val="24"/>
          <w:szCs w:val="24"/>
          <w:lang w:val="es-MX"/>
        </w:rPr>
        <w:t>de</w:t>
      </w:r>
      <w:r w:rsidRPr="0015351D">
        <w:rPr>
          <w:rFonts w:ascii="Futura Lt BT" w:eastAsia="Calibri" w:hAnsi="Futura Lt BT" w:cs="Courier New"/>
          <w:sz w:val="24"/>
          <w:szCs w:val="24"/>
          <w:lang w:val="es-MX"/>
        </w:rPr>
        <w:t xml:space="preserve"> la balanza de pagos</w:t>
      </w:r>
      <w:r w:rsidR="000E5ABF" w:rsidRPr="0015351D">
        <w:rPr>
          <w:rFonts w:ascii="Futura Lt BT" w:eastAsia="Calibri" w:hAnsi="Futura Lt BT" w:cs="Courier New"/>
          <w:sz w:val="24"/>
          <w:szCs w:val="24"/>
          <w:lang w:val="es-MX"/>
        </w:rPr>
        <w:t xml:space="preserve"> en el trimestre</w:t>
      </w:r>
      <w:r w:rsidRPr="0015351D">
        <w:rPr>
          <w:rFonts w:ascii="Futura Lt BT" w:eastAsia="Calibri" w:hAnsi="Futura Lt BT" w:cs="Courier New"/>
          <w:sz w:val="24"/>
          <w:szCs w:val="24"/>
          <w:lang w:val="es-MX"/>
        </w:rPr>
        <w:t xml:space="preserve">, </w:t>
      </w:r>
      <w:r w:rsidR="00784485" w:rsidRPr="0015351D">
        <w:rPr>
          <w:rFonts w:ascii="Futura Lt BT" w:eastAsia="Calibri" w:hAnsi="Futura Lt BT" w:cs="Courier New"/>
          <w:sz w:val="24"/>
          <w:szCs w:val="24"/>
          <w:lang w:val="es-MX"/>
        </w:rPr>
        <w:t xml:space="preserve">se </w:t>
      </w:r>
      <w:r w:rsidR="000E5ABF" w:rsidRPr="0015351D">
        <w:rPr>
          <w:rFonts w:ascii="Futura Lt BT" w:eastAsia="Calibri" w:hAnsi="Futura Lt BT" w:cs="Courier New"/>
          <w:sz w:val="24"/>
          <w:szCs w:val="24"/>
          <w:lang w:val="es-MX"/>
        </w:rPr>
        <w:t xml:space="preserve">destaca el </w:t>
      </w:r>
      <w:r w:rsidR="00784485" w:rsidRPr="0015351D">
        <w:rPr>
          <w:rFonts w:ascii="Futura Lt BT" w:eastAsia="Calibri" w:hAnsi="Futura Lt BT" w:cs="Courier New"/>
          <w:sz w:val="24"/>
          <w:szCs w:val="24"/>
          <w:lang w:val="es-MX"/>
        </w:rPr>
        <w:t>registr</w:t>
      </w:r>
      <w:r w:rsidR="00A713AB" w:rsidRPr="0015351D">
        <w:rPr>
          <w:rFonts w:ascii="Futura Lt BT" w:eastAsia="Calibri" w:hAnsi="Futura Lt BT" w:cs="Courier New"/>
          <w:sz w:val="24"/>
          <w:szCs w:val="24"/>
          <w:lang w:val="es-MX"/>
        </w:rPr>
        <w:t>o</w:t>
      </w:r>
      <w:r w:rsidR="00784485" w:rsidRPr="0015351D">
        <w:rPr>
          <w:rFonts w:ascii="Futura Lt BT" w:eastAsia="Calibri" w:hAnsi="Futura Lt BT" w:cs="Courier New"/>
          <w:sz w:val="24"/>
          <w:szCs w:val="24"/>
          <w:lang w:val="es-MX"/>
        </w:rPr>
        <w:t xml:space="preserve"> </w:t>
      </w:r>
      <w:r w:rsidR="000E5ABF" w:rsidRPr="0015351D">
        <w:rPr>
          <w:rFonts w:ascii="Futura Lt BT" w:eastAsia="Calibri" w:hAnsi="Futura Lt BT" w:cs="Courier New"/>
          <w:sz w:val="24"/>
          <w:szCs w:val="24"/>
          <w:lang w:val="es-MX"/>
        </w:rPr>
        <w:t xml:space="preserve">de </w:t>
      </w:r>
      <w:r w:rsidR="00784485" w:rsidRPr="0015351D">
        <w:rPr>
          <w:rFonts w:ascii="Futura Lt BT" w:eastAsia="Calibri" w:hAnsi="Futura Lt BT" w:cs="Courier New"/>
          <w:sz w:val="24"/>
          <w:szCs w:val="24"/>
          <w:lang w:val="es-MX"/>
        </w:rPr>
        <w:t xml:space="preserve">ingresos brutos de inversión extranjera directa (IED) </w:t>
      </w:r>
      <w:r w:rsidR="000E5ABF" w:rsidRPr="0015351D">
        <w:rPr>
          <w:rFonts w:ascii="Futura Lt BT" w:eastAsia="Calibri" w:hAnsi="Futura Lt BT" w:cs="Courier New"/>
          <w:sz w:val="24"/>
          <w:szCs w:val="24"/>
          <w:lang w:val="es-MX"/>
        </w:rPr>
        <w:t xml:space="preserve">por </w:t>
      </w:r>
      <w:r w:rsidR="005E0FAE">
        <w:rPr>
          <w:rFonts w:ascii="Futura Lt BT" w:eastAsia="Calibri" w:hAnsi="Futura Lt BT" w:cs="Courier New"/>
          <w:sz w:val="24"/>
          <w:szCs w:val="24"/>
          <w:lang w:val="es-MX"/>
        </w:rPr>
        <w:t>779.6</w:t>
      </w:r>
      <w:r w:rsidR="00784485" w:rsidRPr="0015351D">
        <w:rPr>
          <w:rFonts w:ascii="Futura Lt BT" w:eastAsia="Calibri" w:hAnsi="Futura Lt BT" w:cs="Courier New"/>
          <w:sz w:val="24"/>
          <w:szCs w:val="24"/>
          <w:lang w:val="es-MX"/>
        </w:rPr>
        <w:t xml:space="preserve"> millones de dólares</w:t>
      </w:r>
      <w:r w:rsidR="000E5ABF" w:rsidRPr="0015351D">
        <w:rPr>
          <w:rFonts w:ascii="Futura Lt BT" w:eastAsia="Calibri" w:hAnsi="Futura Lt BT" w:cs="Courier New"/>
          <w:sz w:val="24"/>
          <w:szCs w:val="24"/>
          <w:lang w:val="es-MX"/>
        </w:rPr>
        <w:t xml:space="preserve">, </w:t>
      </w:r>
      <w:r w:rsidR="005858F3" w:rsidRPr="0015351D">
        <w:rPr>
          <w:rFonts w:ascii="Futura Lt BT" w:eastAsia="Calibri" w:hAnsi="Futura Lt BT" w:cs="Courier New"/>
          <w:sz w:val="24"/>
          <w:szCs w:val="24"/>
          <w:lang w:val="es-MX"/>
        </w:rPr>
        <w:t xml:space="preserve">siendo </w:t>
      </w:r>
      <w:r w:rsidR="000E5ABF" w:rsidRPr="0015351D">
        <w:rPr>
          <w:rFonts w:ascii="Futura Lt BT" w:eastAsia="Calibri" w:hAnsi="Futura Lt BT" w:cs="Courier New"/>
          <w:sz w:val="24"/>
          <w:szCs w:val="24"/>
          <w:lang w:val="es-MX"/>
        </w:rPr>
        <w:t>m</w:t>
      </w:r>
      <w:r w:rsidR="00A84E06" w:rsidRPr="0015351D">
        <w:rPr>
          <w:rFonts w:ascii="Futura Lt BT" w:eastAsia="Calibri" w:hAnsi="Futura Lt BT" w:cs="Courier New"/>
          <w:sz w:val="24"/>
          <w:szCs w:val="24"/>
          <w:lang w:val="es-MX"/>
        </w:rPr>
        <w:t>ay</w:t>
      </w:r>
      <w:r w:rsidR="000E5ABF" w:rsidRPr="0015351D">
        <w:rPr>
          <w:rFonts w:ascii="Futura Lt BT" w:eastAsia="Calibri" w:hAnsi="Futura Lt BT" w:cs="Courier New"/>
          <w:sz w:val="24"/>
          <w:szCs w:val="24"/>
          <w:lang w:val="es-MX"/>
        </w:rPr>
        <w:t xml:space="preserve">ores en </w:t>
      </w:r>
      <w:r w:rsidR="005E0FAE">
        <w:rPr>
          <w:rFonts w:ascii="Futura Lt BT" w:eastAsia="Calibri" w:hAnsi="Futura Lt BT" w:cs="Courier New"/>
          <w:sz w:val="24"/>
          <w:szCs w:val="24"/>
          <w:lang w:val="es-MX"/>
        </w:rPr>
        <w:t>21.4</w:t>
      </w:r>
      <w:r w:rsidR="00CE1AC0" w:rsidRPr="0015351D">
        <w:rPr>
          <w:rFonts w:ascii="Futura Lt BT" w:eastAsia="Calibri" w:hAnsi="Futura Lt BT" w:cs="Courier New"/>
          <w:sz w:val="24"/>
          <w:szCs w:val="24"/>
          <w:lang w:val="es-MX"/>
        </w:rPr>
        <w:t xml:space="preserve"> por ciento</w:t>
      </w:r>
      <w:r w:rsidR="00784485" w:rsidRPr="0015351D">
        <w:rPr>
          <w:rFonts w:ascii="Futura Lt BT" w:eastAsia="Calibri" w:hAnsi="Futura Lt BT" w:cs="Courier New"/>
          <w:sz w:val="24"/>
          <w:szCs w:val="24"/>
          <w:lang w:val="es-MX"/>
        </w:rPr>
        <w:t xml:space="preserve"> con respecto a igual per</w:t>
      </w:r>
      <w:r w:rsidR="00153893" w:rsidRPr="0015351D">
        <w:rPr>
          <w:rFonts w:ascii="Futura Lt BT" w:eastAsia="Calibri" w:hAnsi="Futura Lt BT" w:cs="Courier New"/>
          <w:sz w:val="24"/>
          <w:szCs w:val="24"/>
          <w:lang w:val="es-MX"/>
        </w:rPr>
        <w:t>í</w:t>
      </w:r>
      <w:r w:rsidR="00784485" w:rsidRPr="0015351D">
        <w:rPr>
          <w:rFonts w:ascii="Futura Lt BT" w:eastAsia="Calibri" w:hAnsi="Futura Lt BT" w:cs="Courier New"/>
          <w:sz w:val="24"/>
          <w:szCs w:val="24"/>
          <w:lang w:val="es-MX"/>
        </w:rPr>
        <w:t>odo de 202</w:t>
      </w:r>
      <w:r w:rsidR="0098697C" w:rsidRPr="0015351D">
        <w:rPr>
          <w:rFonts w:ascii="Futura Lt BT" w:eastAsia="Calibri" w:hAnsi="Futura Lt BT" w:cs="Courier New"/>
          <w:sz w:val="24"/>
          <w:szCs w:val="24"/>
          <w:lang w:val="es-MX"/>
        </w:rPr>
        <w:t>3</w:t>
      </w:r>
      <w:r w:rsidR="00784485" w:rsidRPr="0015351D">
        <w:rPr>
          <w:rFonts w:ascii="Futura Lt BT" w:eastAsia="Calibri" w:hAnsi="Futura Lt BT" w:cs="Courier New"/>
          <w:sz w:val="24"/>
          <w:szCs w:val="24"/>
          <w:lang w:val="es-MX"/>
        </w:rPr>
        <w:t xml:space="preserve"> (US$</w:t>
      </w:r>
      <w:r w:rsidR="0098697C" w:rsidRPr="0015351D">
        <w:rPr>
          <w:rFonts w:ascii="Futura Lt BT" w:eastAsia="Calibri" w:hAnsi="Futura Lt BT" w:cs="Courier New"/>
          <w:sz w:val="24"/>
          <w:szCs w:val="24"/>
          <w:lang w:val="es-MX"/>
        </w:rPr>
        <w:t>6</w:t>
      </w:r>
      <w:r w:rsidR="00A713AB" w:rsidRPr="0015351D">
        <w:rPr>
          <w:rFonts w:ascii="Futura Lt BT" w:eastAsia="Calibri" w:hAnsi="Futura Lt BT" w:cs="Courier New"/>
          <w:sz w:val="24"/>
          <w:szCs w:val="24"/>
          <w:lang w:val="es-MX"/>
        </w:rPr>
        <w:t>42.1</w:t>
      </w:r>
      <w:r w:rsidR="00784485" w:rsidRPr="0015351D">
        <w:rPr>
          <w:rFonts w:ascii="Futura Lt BT" w:eastAsia="Calibri" w:hAnsi="Futura Lt BT" w:cs="Courier New"/>
          <w:sz w:val="24"/>
          <w:szCs w:val="24"/>
          <w:lang w:val="es-MX"/>
        </w:rPr>
        <w:t xml:space="preserve"> millones</w:t>
      </w:r>
      <w:r w:rsidR="000D56B3" w:rsidRPr="0015351D">
        <w:rPr>
          <w:rFonts w:ascii="Futura Lt BT" w:eastAsia="Calibri" w:hAnsi="Futura Lt BT" w:cs="Courier New"/>
          <w:sz w:val="24"/>
          <w:szCs w:val="24"/>
          <w:lang w:val="es-MX"/>
        </w:rPr>
        <w:t>).</w:t>
      </w:r>
      <w:r w:rsidR="0047512E" w:rsidRPr="0015351D">
        <w:rPr>
          <w:rFonts w:ascii="Futura Lt BT" w:eastAsia="Calibri" w:hAnsi="Futura Lt BT" w:cs="Courier New"/>
          <w:sz w:val="24"/>
          <w:szCs w:val="24"/>
          <w:lang w:val="es-MX"/>
        </w:rPr>
        <w:t xml:space="preserve"> </w:t>
      </w:r>
      <w:r w:rsidR="00593BFF" w:rsidRPr="00992EB5">
        <w:rPr>
          <w:rFonts w:ascii="Futura Lt BT" w:eastAsia="Calibri" w:hAnsi="Futura Lt BT" w:cs="Courier New"/>
          <w:sz w:val="24"/>
          <w:szCs w:val="24"/>
          <w:lang w:val="es-MX"/>
        </w:rPr>
        <w:t xml:space="preserve">En el </w:t>
      </w:r>
      <w:r w:rsidR="000D56B3" w:rsidRPr="00992EB5">
        <w:rPr>
          <w:rFonts w:ascii="Futura Lt BT" w:eastAsia="Calibri" w:hAnsi="Futura Lt BT" w:cs="Courier New"/>
          <w:sz w:val="24"/>
          <w:szCs w:val="24"/>
          <w:lang w:val="es-MX"/>
        </w:rPr>
        <w:t xml:space="preserve">acumulado a </w:t>
      </w:r>
      <w:r w:rsidR="00593BFF" w:rsidRPr="00992EB5">
        <w:rPr>
          <w:rFonts w:ascii="Futura Lt BT" w:eastAsia="Calibri" w:hAnsi="Futura Lt BT" w:cs="Courier New"/>
          <w:sz w:val="24"/>
          <w:szCs w:val="24"/>
          <w:lang w:val="es-MX"/>
        </w:rPr>
        <w:t>junio 2024, los ingresos brutos de IED sumaron 1,</w:t>
      </w:r>
      <w:r w:rsidR="005E0FAE" w:rsidRPr="00992EB5">
        <w:rPr>
          <w:rFonts w:ascii="Futura Lt BT" w:eastAsia="Calibri" w:hAnsi="Futura Lt BT" w:cs="Courier New"/>
          <w:sz w:val="24"/>
          <w:szCs w:val="24"/>
          <w:lang w:val="es-MX"/>
        </w:rPr>
        <w:t>588</w:t>
      </w:r>
      <w:r w:rsidR="00593BFF" w:rsidRPr="00992EB5">
        <w:rPr>
          <w:rFonts w:ascii="Futura Lt BT" w:eastAsia="Calibri" w:hAnsi="Futura Lt BT" w:cs="Courier New"/>
          <w:sz w:val="24"/>
          <w:szCs w:val="24"/>
          <w:lang w:val="es-MX"/>
        </w:rPr>
        <w:t>.6 millones</w:t>
      </w:r>
      <w:r w:rsidR="0015351D" w:rsidRPr="00992EB5">
        <w:rPr>
          <w:rFonts w:ascii="Futura Lt BT" w:eastAsia="Calibri" w:hAnsi="Futura Lt BT" w:cs="Courier New"/>
          <w:sz w:val="24"/>
          <w:szCs w:val="24"/>
          <w:lang w:val="es-MX"/>
        </w:rPr>
        <w:t xml:space="preserve"> de dólares</w:t>
      </w:r>
      <w:r w:rsidR="00593BFF" w:rsidRPr="00992EB5">
        <w:rPr>
          <w:rFonts w:ascii="Futura Lt BT" w:eastAsia="Calibri" w:hAnsi="Futura Lt BT" w:cs="Courier New"/>
          <w:sz w:val="24"/>
          <w:szCs w:val="24"/>
          <w:lang w:val="es-MX"/>
        </w:rPr>
        <w:t xml:space="preserve">, </w:t>
      </w:r>
      <w:r w:rsidR="0015351D" w:rsidRPr="00992EB5">
        <w:rPr>
          <w:rFonts w:ascii="Futura Lt BT" w:eastAsia="Calibri" w:hAnsi="Futura Lt BT" w:cs="Courier New"/>
          <w:sz w:val="24"/>
          <w:szCs w:val="24"/>
          <w:lang w:val="es-MX"/>
        </w:rPr>
        <w:t>superando</w:t>
      </w:r>
      <w:r w:rsidR="00593BFF" w:rsidRPr="00992EB5">
        <w:rPr>
          <w:rFonts w:ascii="Futura Lt BT" w:eastAsia="Calibri" w:hAnsi="Futura Lt BT" w:cs="Courier New"/>
          <w:sz w:val="24"/>
          <w:szCs w:val="24"/>
          <w:lang w:val="es-MX"/>
        </w:rPr>
        <w:t xml:space="preserve"> en </w:t>
      </w:r>
      <w:r w:rsidR="005E0FAE" w:rsidRPr="00992EB5">
        <w:rPr>
          <w:rFonts w:ascii="Futura Lt BT" w:eastAsia="Calibri" w:hAnsi="Futura Lt BT" w:cs="Courier New"/>
          <w:sz w:val="24"/>
          <w:szCs w:val="24"/>
          <w:lang w:val="es-MX"/>
        </w:rPr>
        <w:t>11.3</w:t>
      </w:r>
      <w:r w:rsidR="00593BFF" w:rsidRPr="00992EB5">
        <w:rPr>
          <w:rFonts w:ascii="Futura Lt BT" w:eastAsia="Calibri" w:hAnsi="Futura Lt BT" w:cs="Courier New"/>
          <w:sz w:val="24"/>
          <w:szCs w:val="24"/>
          <w:lang w:val="es-MX"/>
        </w:rPr>
        <w:t xml:space="preserve"> por ciento (+US$</w:t>
      </w:r>
      <w:r w:rsidR="005E0FAE" w:rsidRPr="00992EB5">
        <w:rPr>
          <w:rFonts w:ascii="Futura Lt BT" w:eastAsia="Calibri" w:hAnsi="Futura Lt BT" w:cs="Courier New"/>
          <w:sz w:val="24"/>
          <w:szCs w:val="24"/>
          <w:lang w:val="es-MX"/>
        </w:rPr>
        <w:t>160.9</w:t>
      </w:r>
      <w:r w:rsidR="00593BFF" w:rsidRPr="00992EB5">
        <w:rPr>
          <w:rFonts w:ascii="Futura Lt BT" w:eastAsia="Calibri" w:hAnsi="Futura Lt BT" w:cs="Courier New"/>
          <w:sz w:val="24"/>
          <w:szCs w:val="24"/>
          <w:lang w:val="es-MX"/>
        </w:rPr>
        <w:t xml:space="preserve"> millones) al registrado en el primer semestre de 2023 (US$1,427.7 millones), </w:t>
      </w:r>
      <w:r w:rsidR="00735063">
        <w:rPr>
          <w:rFonts w:ascii="Futura Lt BT" w:eastAsia="Calibri" w:hAnsi="Futura Lt BT" w:cs="Courier New"/>
          <w:sz w:val="24"/>
          <w:szCs w:val="24"/>
          <w:lang w:val="es-MX"/>
        </w:rPr>
        <w:t xml:space="preserve">debido al aumento de 13.4 por ciento en los </w:t>
      </w:r>
      <w:r w:rsidR="00735063" w:rsidRPr="00A32630">
        <w:rPr>
          <w:rFonts w:ascii="Futura Lt BT" w:eastAsia="Calibri" w:hAnsi="Futura Lt BT" w:cs="Courier New"/>
          <w:sz w:val="24"/>
          <w:szCs w:val="24"/>
          <w:lang w:val="es-MX"/>
        </w:rPr>
        <w:t>desembolsos de deuda relacionada</w:t>
      </w:r>
      <w:r w:rsidR="00735063">
        <w:rPr>
          <w:rFonts w:ascii="Futura Lt BT" w:eastAsia="Calibri" w:hAnsi="Futura Lt BT" w:cs="Courier New"/>
          <w:sz w:val="24"/>
          <w:szCs w:val="24"/>
          <w:lang w:val="es-MX"/>
        </w:rPr>
        <w:t>, y de mayores aportes de capital, principalmente en los sectores de manufactura y pesca</w:t>
      </w:r>
      <w:r w:rsidR="00593BFF" w:rsidRPr="00992EB5">
        <w:rPr>
          <w:rFonts w:ascii="Futura Lt BT" w:eastAsia="Calibri" w:hAnsi="Futura Lt BT" w:cs="Courier New"/>
          <w:sz w:val="24"/>
          <w:szCs w:val="24"/>
          <w:lang w:val="es-MX"/>
        </w:rPr>
        <w:t>.</w:t>
      </w:r>
      <w:r w:rsidR="000D56B3" w:rsidRPr="00992EB5">
        <w:rPr>
          <w:rFonts w:ascii="Futura Lt BT" w:eastAsia="Calibri" w:hAnsi="Futura Lt BT" w:cs="Courier New"/>
          <w:sz w:val="24"/>
          <w:szCs w:val="24"/>
          <w:lang w:val="es-MX"/>
        </w:rPr>
        <w:t xml:space="preserve"> </w:t>
      </w:r>
      <w:r w:rsidR="00784485" w:rsidRPr="00992EB5">
        <w:rPr>
          <w:rFonts w:ascii="Futura Lt BT" w:eastAsia="Calibri" w:hAnsi="Futura Lt BT" w:cs="Courier New"/>
          <w:sz w:val="24"/>
          <w:szCs w:val="24"/>
          <w:lang w:val="es-MX"/>
        </w:rPr>
        <w:t xml:space="preserve">Por su parte, el flujo neto </w:t>
      </w:r>
      <w:r w:rsidR="00267414" w:rsidRPr="00992EB5">
        <w:rPr>
          <w:rFonts w:ascii="Futura Lt BT" w:eastAsia="Calibri" w:hAnsi="Futura Lt BT" w:cs="Courier New"/>
          <w:sz w:val="24"/>
          <w:szCs w:val="24"/>
          <w:lang w:val="es-MX"/>
        </w:rPr>
        <w:t xml:space="preserve">acumulado </w:t>
      </w:r>
      <w:r w:rsidR="00784485" w:rsidRPr="00992EB5">
        <w:rPr>
          <w:rFonts w:ascii="Futura Lt BT" w:eastAsia="Calibri" w:hAnsi="Futura Lt BT" w:cs="Courier New"/>
          <w:sz w:val="24"/>
          <w:szCs w:val="24"/>
          <w:lang w:val="es-MX"/>
        </w:rPr>
        <w:t xml:space="preserve">de la IED en el </w:t>
      </w:r>
      <w:r w:rsidR="00F509C3" w:rsidRPr="00992EB5">
        <w:rPr>
          <w:rFonts w:ascii="Futura Lt BT" w:eastAsia="Calibri" w:hAnsi="Futura Lt BT" w:cs="Courier New"/>
          <w:sz w:val="24"/>
          <w:szCs w:val="24"/>
          <w:lang w:val="es-MX"/>
        </w:rPr>
        <w:t>semestre</w:t>
      </w:r>
      <w:r w:rsidR="00784485" w:rsidRPr="00992EB5">
        <w:rPr>
          <w:rFonts w:ascii="Futura Lt BT" w:eastAsia="Calibri" w:hAnsi="Futura Lt BT" w:cs="Courier New"/>
          <w:sz w:val="24"/>
          <w:szCs w:val="24"/>
          <w:lang w:val="es-MX"/>
        </w:rPr>
        <w:t xml:space="preserve"> resultó de </w:t>
      </w:r>
      <w:r w:rsidR="00267414" w:rsidRPr="00992EB5">
        <w:rPr>
          <w:rFonts w:ascii="Futura Lt BT" w:eastAsia="Calibri" w:hAnsi="Futura Lt BT" w:cs="Courier New"/>
          <w:sz w:val="24"/>
          <w:szCs w:val="24"/>
          <w:lang w:val="es-MX"/>
        </w:rPr>
        <w:t>810.3</w:t>
      </w:r>
      <w:r w:rsidR="00784485" w:rsidRPr="00992EB5">
        <w:rPr>
          <w:rFonts w:ascii="Futura Lt BT" w:eastAsia="Calibri" w:hAnsi="Futura Lt BT" w:cs="Courier New"/>
          <w:sz w:val="24"/>
          <w:szCs w:val="24"/>
          <w:lang w:val="es-MX"/>
        </w:rPr>
        <w:t xml:space="preserve"> millones de dólares</w:t>
      </w:r>
      <w:r w:rsidR="001C3985" w:rsidRPr="00992EB5">
        <w:rPr>
          <w:rFonts w:ascii="Futura Lt BT" w:eastAsia="Calibri" w:hAnsi="Futura Lt BT" w:cs="Courier New"/>
          <w:sz w:val="24"/>
          <w:szCs w:val="24"/>
          <w:lang w:val="es-MX"/>
        </w:rPr>
        <w:t>,</w:t>
      </w:r>
      <w:r w:rsidR="00784485" w:rsidRPr="00992EB5">
        <w:rPr>
          <w:rFonts w:ascii="Futura Lt BT" w:eastAsia="Calibri" w:hAnsi="Futura Lt BT" w:cs="Courier New"/>
          <w:sz w:val="24"/>
          <w:szCs w:val="24"/>
          <w:lang w:val="es-MX"/>
        </w:rPr>
        <w:t xml:space="preserve"> el cual fue </w:t>
      </w:r>
      <w:r w:rsidR="006D7AD1" w:rsidRPr="00992EB5">
        <w:rPr>
          <w:rFonts w:ascii="Futura Lt BT" w:eastAsia="Calibri" w:hAnsi="Futura Lt BT" w:cs="Courier New"/>
          <w:sz w:val="24"/>
          <w:szCs w:val="24"/>
          <w:lang w:val="es-MX"/>
        </w:rPr>
        <w:t>m</w:t>
      </w:r>
      <w:r w:rsidR="00F509C3" w:rsidRPr="00992EB5">
        <w:rPr>
          <w:rFonts w:ascii="Futura Lt BT" w:eastAsia="Calibri" w:hAnsi="Futura Lt BT" w:cs="Courier New"/>
          <w:sz w:val="24"/>
          <w:szCs w:val="24"/>
          <w:lang w:val="es-MX"/>
        </w:rPr>
        <w:t>en</w:t>
      </w:r>
      <w:r w:rsidR="006D7AD1" w:rsidRPr="00992EB5">
        <w:rPr>
          <w:rFonts w:ascii="Futura Lt BT" w:eastAsia="Calibri" w:hAnsi="Futura Lt BT" w:cs="Courier New"/>
          <w:sz w:val="24"/>
          <w:szCs w:val="24"/>
          <w:lang w:val="es-MX"/>
        </w:rPr>
        <w:t>or</w:t>
      </w:r>
      <w:r w:rsidR="00784485" w:rsidRPr="00992EB5">
        <w:rPr>
          <w:rFonts w:ascii="Futura Lt BT" w:eastAsia="Calibri" w:hAnsi="Futura Lt BT" w:cs="Courier New"/>
          <w:sz w:val="24"/>
          <w:szCs w:val="24"/>
          <w:lang w:val="es-MX"/>
        </w:rPr>
        <w:t xml:space="preserve"> en </w:t>
      </w:r>
      <w:r w:rsidR="00267414" w:rsidRPr="00992EB5">
        <w:rPr>
          <w:rFonts w:ascii="Futura Lt BT" w:eastAsia="Calibri" w:hAnsi="Futura Lt BT" w:cs="Courier New"/>
          <w:sz w:val="24"/>
          <w:szCs w:val="24"/>
          <w:lang w:val="es-MX"/>
        </w:rPr>
        <w:t>2.0</w:t>
      </w:r>
      <w:r w:rsidR="00784485" w:rsidRPr="00992EB5">
        <w:rPr>
          <w:rFonts w:ascii="Futura Lt BT" w:eastAsia="Calibri" w:hAnsi="Futura Lt BT" w:cs="Courier New"/>
          <w:sz w:val="24"/>
          <w:szCs w:val="24"/>
          <w:lang w:val="es-MX"/>
        </w:rPr>
        <w:t xml:space="preserve"> por ciento (</w:t>
      </w:r>
      <w:r w:rsidR="00267414" w:rsidRPr="00992EB5">
        <w:rPr>
          <w:rFonts w:ascii="Futura Lt BT" w:eastAsia="Calibri" w:hAnsi="Futura Lt BT" w:cs="Courier New"/>
          <w:sz w:val="24"/>
          <w:szCs w:val="24"/>
          <w:lang w:val="es-MX"/>
        </w:rPr>
        <w:t>-</w:t>
      </w:r>
      <w:r w:rsidR="00784485" w:rsidRPr="00992EB5">
        <w:rPr>
          <w:rFonts w:ascii="Futura Lt BT" w:eastAsia="Calibri" w:hAnsi="Futura Lt BT" w:cs="Courier New"/>
          <w:sz w:val="24"/>
          <w:szCs w:val="24"/>
          <w:lang w:val="es-MX"/>
        </w:rPr>
        <w:t>US$</w:t>
      </w:r>
      <w:r w:rsidR="00267414" w:rsidRPr="00992EB5">
        <w:rPr>
          <w:rFonts w:ascii="Futura Lt BT" w:eastAsia="Calibri" w:hAnsi="Futura Lt BT" w:cs="Courier New"/>
          <w:sz w:val="24"/>
          <w:szCs w:val="24"/>
          <w:lang w:val="es-MX"/>
        </w:rPr>
        <w:t>16.7</w:t>
      </w:r>
      <w:r w:rsidR="00784485" w:rsidRPr="00992EB5">
        <w:rPr>
          <w:rFonts w:ascii="Futura Lt BT" w:eastAsia="Calibri" w:hAnsi="Futura Lt BT" w:cs="Courier New"/>
          <w:sz w:val="24"/>
          <w:szCs w:val="24"/>
          <w:lang w:val="es-MX"/>
        </w:rPr>
        <w:t xml:space="preserve"> millones) </w:t>
      </w:r>
      <w:r w:rsidR="00FC6FCA" w:rsidRPr="00992EB5">
        <w:rPr>
          <w:rFonts w:ascii="Futura Lt BT" w:eastAsia="Calibri" w:hAnsi="Futura Lt BT" w:cs="Courier New"/>
          <w:sz w:val="24"/>
          <w:szCs w:val="24"/>
          <w:lang w:val="es-MX"/>
        </w:rPr>
        <w:t>que el registrado en</w:t>
      </w:r>
      <w:r w:rsidR="00784485" w:rsidRPr="00992EB5">
        <w:rPr>
          <w:rFonts w:ascii="Futura Lt BT" w:eastAsia="Calibri" w:hAnsi="Futura Lt BT" w:cs="Courier New"/>
          <w:sz w:val="24"/>
          <w:szCs w:val="24"/>
          <w:lang w:val="es-MX"/>
        </w:rPr>
        <w:t xml:space="preserve"> </w:t>
      </w:r>
      <w:r w:rsidR="001C3985" w:rsidRPr="00992EB5">
        <w:rPr>
          <w:rFonts w:ascii="Futura Lt BT" w:eastAsia="Calibri" w:hAnsi="Futura Lt BT" w:cs="Courier New"/>
          <w:sz w:val="24"/>
          <w:szCs w:val="24"/>
          <w:lang w:val="es-MX"/>
        </w:rPr>
        <w:t>igual</w:t>
      </w:r>
      <w:r w:rsidR="001C3985" w:rsidRPr="00267414">
        <w:rPr>
          <w:rFonts w:ascii="Futura Lt BT" w:eastAsia="Calibri" w:hAnsi="Futura Lt BT" w:cs="Courier New"/>
          <w:sz w:val="24"/>
          <w:szCs w:val="24"/>
          <w:lang w:val="es-MX"/>
        </w:rPr>
        <w:t xml:space="preserve"> período </w:t>
      </w:r>
      <w:r w:rsidR="00784485" w:rsidRPr="00267414">
        <w:rPr>
          <w:rFonts w:ascii="Futura Lt BT" w:eastAsia="Calibri" w:hAnsi="Futura Lt BT" w:cs="Courier New"/>
          <w:sz w:val="24"/>
          <w:szCs w:val="24"/>
          <w:lang w:val="es-MX"/>
        </w:rPr>
        <w:t>202</w:t>
      </w:r>
      <w:r w:rsidR="001C3985" w:rsidRPr="00267414">
        <w:rPr>
          <w:rFonts w:ascii="Futura Lt BT" w:eastAsia="Calibri" w:hAnsi="Futura Lt BT" w:cs="Courier New"/>
          <w:sz w:val="24"/>
          <w:szCs w:val="24"/>
          <w:lang w:val="es-MX"/>
        </w:rPr>
        <w:t>3</w:t>
      </w:r>
      <w:r w:rsidR="00784485" w:rsidRPr="00267414">
        <w:rPr>
          <w:rFonts w:ascii="Futura Lt BT" w:eastAsia="Calibri" w:hAnsi="Futura Lt BT" w:cs="Courier New"/>
          <w:sz w:val="24"/>
          <w:szCs w:val="24"/>
          <w:lang w:val="es-MX"/>
        </w:rPr>
        <w:t xml:space="preserve"> (US$</w:t>
      </w:r>
      <w:r w:rsidR="00F509C3" w:rsidRPr="00267414">
        <w:rPr>
          <w:rFonts w:ascii="Futura Lt BT" w:eastAsia="Calibri" w:hAnsi="Futura Lt BT" w:cs="Courier New"/>
          <w:sz w:val="24"/>
          <w:szCs w:val="24"/>
          <w:lang w:val="es-MX"/>
        </w:rPr>
        <w:t>8</w:t>
      </w:r>
      <w:r w:rsidR="00A713AB" w:rsidRPr="00267414">
        <w:rPr>
          <w:rFonts w:ascii="Futura Lt BT" w:eastAsia="Calibri" w:hAnsi="Futura Lt BT" w:cs="Courier New"/>
          <w:sz w:val="24"/>
          <w:szCs w:val="24"/>
          <w:lang w:val="es-MX"/>
        </w:rPr>
        <w:t>27</w:t>
      </w:r>
      <w:r w:rsidR="006D7AD1" w:rsidRPr="00267414">
        <w:rPr>
          <w:rFonts w:ascii="Futura Lt BT" w:eastAsia="Calibri" w:hAnsi="Futura Lt BT" w:cs="Courier New"/>
          <w:sz w:val="24"/>
          <w:szCs w:val="24"/>
          <w:lang w:val="es-MX"/>
        </w:rPr>
        <w:t>.</w:t>
      </w:r>
      <w:r w:rsidR="00F509C3" w:rsidRPr="00267414">
        <w:rPr>
          <w:rFonts w:ascii="Futura Lt BT" w:eastAsia="Calibri" w:hAnsi="Futura Lt BT" w:cs="Courier New"/>
          <w:sz w:val="24"/>
          <w:szCs w:val="24"/>
          <w:lang w:val="es-MX"/>
        </w:rPr>
        <w:t>0</w:t>
      </w:r>
      <w:r w:rsidR="00784485" w:rsidRPr="00267414">
        <w:rPr>
          <w:rFonts w:ascii="Futura Lt BT" w:eastAsia="Calibri" w:hAnsi="Futura Lt BT" w:cs="Courier New"/>
          <w:sz w:val="24"/>
          <w:szCs w:val="24"/>
          <w:lang w:val="es-MX"/>
        </w:rPr>
        <w:t xml:space="preserve"> millones</w:t>
      </w:r>
      <w:bookmarkStart w:id="13" w:name="_Hlk140142211"/>
      <w:r w:rsidR="00907B41" w:rsidRPr="00267414">
        <w:rPr>
          <w:rFonts w:ascii="Futura Lt BT" w:eastAsia="Calibri" w:hAnsi="Futura Lt BT" w:cs="Courier New"/>
          <w:sz w:val="24"/>
          <w:szCs w:val="24"/>
          <w:lang w:val="es-MX"/>
        </w:rPr>
        <w:t>).</w:t>
      </w:r>
      <w:r w:rsidR="00072697" w:rsidRPr="0015351D">
        <w:rPr>
          <w:rFonts w:ascii="Futura Lt BT" w:eastAsia="Calibri" w:hAnsi="Futura Lt BT" w:cs="Courier New"/>
          <w:sz w:val="24"/>
          <w:szCs w:val="24"/>
          <w:lang w:val="es-MX"/>
        </w:rPr>
        <w:t xml:space="preserve"> </w:t>
      </w:r>
      <w:bookmarkStart w:id="14" w:name="_Hlk149305987"/>
    </w:p>
    <w:p w:rsidR="0066728B" w:rsidRDefault="00A875D0" w:rsidP="0015351D">
      <w:pPr>
        <w:spacing w:line="276" w:lineRule="auto"/>
        <w:jc w:val="both"/>
        <w:rPr>
          <w:rFonts w:ascii="Futura Lt BT" w:eastAsia="Calibri" w:hAnsi="Futura Lt BT" w:cs="Courier New"/>
          <w:sz w:val="24"/>
          <w:szCs w:val="24"/>
          <w:lang w:val="es-MX"/>
        </w:rPr>
      </w:pPr>
      <w:r w:rsidRPr="00275C1D">
        <w:rPr>
          <w:rFonts w:ascii="Futura Lt BT" w:eastAsia="Calibri" w:hAnsi="Futura Lt BT" w:cs="Courier New"/>
          <w:sz w:val="24"/>
          <w:szCs w:val="24"/>
          <w:lang w:val="es-MX"/>
        </w:rPr>
        <w:t>En relación con los flujos de préstamos externos</w:t>
      </w:r>
      <w:bookmarkEnd w:id="14"/>
      <w:r w:rsidR="007F520C" w:rsidRPr="00275C1D">
        <w:rPr>
          <w:rFonts w:ascii="Futura Lt BT" w:eastAsia="Calibri" w:hAnsi="Futura Lt BT" w:cs="Courier New"/>
          <w:sz w:val="24"/>
          <w:szCs w:val="24"/>
          <w:lang w:val="es-MX"/>
        </w:rPr>
        <w:t xml:space="preserve"> netos</w:t>
      </w:r>
      <w:r w:rsidRPr="00275C1D">
        <w:rPr>
          <w:rFonts w:ascii="Futura Lt BT" w:eastAsia="Calibri" w:hAnsi="Futura Lt BT" w:cs="Courier New"/>
          <w:sz w:val="24"/>
          <w:szCs w:val="24"/>
          <w:lang w:val="es-MX"/>
        </w:rPr>
        <w:t xml:space="preserve">, </w:t>
      </w:r>
      <w:bookmarkStart w:id="15" w:name="_Hlk149305968"/>
      <w:r w:rsidRPr="00275C1D">
        <w:rPr>
          <w:rFonts w:ascii="Futura Lt BT" w:eastAsia="Calibri" w:hAnsi="Futura Lt BT" w:cs="Courier New"/>
          <w:sz w:val="24"/>
          <w:szCs w:val="24"/>
          <w:lang w:val="es-MX"/>
        </w:rPr>
        <w:t xml:space="preserve">se registró </w:t>
      </w:r>
      <w:r w:rsidR="00A713AB" w:rsidRPr="00275C1D">
        <w:rPr>
          <w:rFonts w:ascii="Futura Lt BT" w:eastAsia="Calibri" w:hAnsi="Futura Lt BT" w:cs="Courier New"/>
          <w:sz w:val="24"/>
          <w:szCs w:val="24"/>
          <w:lang w:val="es-MX"/>
        </w:rPr>
        <w:t>desembolsos</w:t>
      </w:r>
      <w:r w:rsidR="004B0A51" w:rsidRPr="00275C1D">
        <w:rPr>
          <w:rFonts w:ascii="Futura Lt BT" w:eastAsia="Calibri" w:hAnsi="Futura Lt BT" w:cs="Courier New"/>
          <w:sz w:val="24"/>
          <w:szCs w:val="24"/>
          <w:lang w:val="es-MX"/>
        </w:rPr>
        <w:t xml:space="preserve"> </w:t>
      </w:r>
      <w:r w:rsidRPr="00275C1D">
        <w:rPr>
          <w:rFonts w:ascii="Futura Lt BT" w:eastAsia="Calibri" w:hAnsi="Futura Lt BT" w:cs="Courier New"/>
          <w:sz w:val="24"/>
          <w:szCs w:val="24"/>
          <w:lang w:val="es-MX"/>
        </w:rPr>
        <w:t>n</w:t>
      </w:r>
      <w:r w:rsidR="004B0A51" w:rsidRPr="00275C1D">
        <w:rPr>
          <w:rFonts w:ascii="Futura Lt BT" w:eastAsia="Calibri" w:hAnsi="Futura Lt BT" w:cs="Courier New"/>
          <w:sz w:val="24"/>
          <w:szCs w:val="24"/>
          <w:lang w:val="es-MX"/>
        </w:rPr>
        <w:t>e</w:t>
      </w:r>
      <w:r w:rsidRPr="00275C1D">
        <w:rPr>
          <w:rFonts w:ascii="Futura Lt BT" w:eastAsia="Calibri" w:hAnsi="Futura Lt BT" w:cs="Courier New"/>
          <w:sz w:val="24"/>
          <w:szCs w:val="24"/>
          <w:lang w:val="es-MX"/>
        </w:rPr>
        <w:t>t</w:t>
      </w:r>
      <w:r w:rsidR="00A713AB" w:rsidRPr="00275C1D">
        <w:rPr>
          <w:rFonts w:ascii="Futura Lt BT" w:eastAsia="Calibri" w:hAnsi="Futura Lt BT" w:cs="Courier New"/>
          <w:sz w:val="24"/>
          <w:szCs w:val="24"/>
          <w:lang w:val="es-MX"/>
        </w:rPr>
        <w:t>o</w:t>
      </w:r>
      <w:r w:rsidRPr="00275C1D">
        <w:rPr>
          <w:rFonts w:ascii="Futura Lt BT" w:eastAsia="Calibri" w:hAnsi="Futura Lt BT" w:cs="Courier New"/>
          <w:sz w:val="24"/>
          <w:szCs w:val="24"/>
          <w:lang w:val="es-MX"/>
        </w:rPr>
        <w:t>s (</w:t>
      </w:r>
      <w:r w:rsidR="00A713AB" w:rsidRPr="00275C1D">
        <w:rPr>
          <w:rFonts w:ascii="Futura Lt BT" w:eastAsia="Calibri" w:hAnsi="Futura Lt BT" w:cs="Courier New"/>
          <w:sz w:val="24"/>
          <w:szCs w:val="24"/>
          <w:lang w:val="es-MX"/>
        </w:rPr>
        <w:t>aumento</w:t>
      </w:r>
      <w:r w:rsidRPr="00275C1D">
        <w:rPr>
          <w:rFonts w:ascii="Futura Lt BT" w:eastAsia="Calibri" w:hAnsi="Futura Lt BT" w:cs="Courier New"/>
          <w:sz w:val="24"/>
          <w:szCs w:val="24"/>
          <w:lang w:val="es-MX"/>
        </w:rPr>
        <w:t xml:space="preserve"> de pasivos) de </w:t>
      </w:r>
      <w:r w:rsidR="000D4C44" w:rsidRPr="00275C1D">
        <w:rPr>
          <w:rFonts w:ascii="Futura Lt BT" w:eastAsia="Calibri" w:hAnsi="Futura Lt BT" w:cs="Courier New"/>
          <w:sz w:val="24"/>
          <w:szCs w:val="24"/>
          <w:lang w:val="es-MX"/>
        </w:rPr>
        <w:t>38</w:t>
      </w:r>
      <w:r w:rsidR="00A713AB" w:rsidRPr="00275C1D">
        <w:rPr>
          <w:rFonts w:ascii="Futura Lt BT" w:eastAsia="Calibri" w:hAnsi="Futura Lt BT" w:cs="Courier New"/>
          <w:sz w:val="24"/>
          <w:szCs w:val="24"/>
          <w:lang w:val="es-MX"/>
        </w:rPr>
        <w:t>.</w:t>
      </w:r>
      <w:r w:rsidR="000D4C44" w:rsidRPr="00275C1D">
        <w:rPr>
          <w:rFonts w:ascii="Futura Lt BT" w:eastAsia="Calibri" w:hAnsi="Futura Lt BT" w:cs="Courier New"/>
          <w:sz w:val="24"/>
          <w:szCs w:val="24"/>
          <w:lang w:val="es-MX"/>
        </w:rPr>
        <w:t>9</w:t>
      </w:r>
      <w:r w:rsidRPr="00275C1D">
        <w:rPr>
          <w:rFonts w:ascii="Futura Lt BT" w:eastAsia="Calibri" w:hAnsi="Futura Lt BT" w:cs="Courier New"/>
          <w:sz w:val="24"/>
          <w:szCs w:val="24"/>
          <w:lang w:val="es-MX"/>
        </w:rPr>
        <w:t xml:space="preserve"> millones de dólares</w:t>
      </w:r>
      <w:r w:rsidR="00DA4C3D" w:rsidRPr="00275C1D">
        <w:rPr>
          <w:rFonts w:ascii="Futura Lt BT" w:eastAsia="Calibri" w:hAnsi="Futura Lt BT" w:cs="Courier New"/>
          <w:sz w:val="24"/>
          <w:szCs w:val="24"/>
          <w:lang w:val="es-MX"/>
        </w:rPr>
        <w:t xml:space="preserve"> en el segundo trimestre de 2024</w:t>
      </w:r>
      <w:r w:rsidR="00C3252C" w:rsidRPr="00275C1D">
        <w:rPr>
          <w:rFonts w:ascii="Futura Lt BT" w:eastAsia="Calibri" w:hAnsi="Futura Lt BT" w:cs="Courier New"/>
          <w:sz w:val="24"/>
          <w:szCs w:val="24"/>
          <w:lang w:val="es-MX"/>
        </w:rPr>
        <w:t xml:space="preserve"> (</w:t>
      </w:r>
      <w:r w:rsidR="00A713AB" w:rsidRPr="00275C1D">
        <w:rPr>
          <w:rFonts w:ascii="Futura Lt BT" w:eastAsia="Calibri" w:hAnsi="Futura Lt BT" w:cs="Courier New"/>
          <w:sz w:val="24"/>
          <w:szCs w:val="24"/>
          <w:lang w:val="es-MX"/>
        </w:rPr>
        <w:t>-</w:t>
      </w:r>
      <w:r w:rsidR="00C3252C" w:rsidRPr="00275C1D">
        <w:rPr>
          <w:rFonts w:ascii="Futura Lt BT" w:eastAsia="Calibri" w:hAnsi="Futura Lt BT" w:cs="Courier New"/>
          <w:sz w:val="24"/>
          <w:szCs w:val="24"/>
          <w:lang w:val="es-MX"/>
        </w:rPr>
        <w:t>US$</w:t>
      </w:r>
      <w:r w:rsidR="00A713AB" w:rsidRPr="00275C1D">
        <w:rPr>
          <w:rFonts w:ascii="Futura Lt BT" w:eastAsia="Calibri" w:hAnsi="Futura Lt BT" w:cs="Courier New"/>
          <w:sz w:val="24"/>
          <w:szCs w:val="24"/>
          <w:lang w:val="es-MX"/>
        </w:rPr>
        <w:t>1.</w:t>
      </w:r>
      <w:r w:rsidR="001C3985" w:rsidRPr="00275C1D">
        <w:rPr>
          <w:rFonts w:ascii="Futura Lt BT" w:eastAsia="Calibri" w:hAnsi="Futura Lt BT" w:cs="Courier New"/>
          <w:sz w:val="24"/>
          <w:szCs w:val="24"/>
          <w:lang w:val="es-MX"/>
        </w:rPr>
        <w:t>8</w:t>
      </w:r>
      <w:r w:rsidR="00C3252C" w:rsidRPr="00275C1D">
        <w:rPr>
          <w:rFonts w:ascii="Futura Lt BT" w:eastAsia="Calibri" w:hAnsi="Futura Lt BT" w:cs="Courier New"/>
          <w:sz w:val="24"/>
          <w:szCs w:val="24"/>
          <w:lang w:val="es-MX"/>
        </w:rPr>
        <w:t xml:space="preserve"> millones en </w:t>
      </w:r>
      <w:r w:rsidR="00DA4C3D" w:rsidRPr="00275C1D">
        <w:rPr>
          <w:rFonts w:ascii="Futura Lt BT" w:eastAsia="Calibri" w:hAnsi="Futura Lt BT" w:cs="Courier New"/>
          <w:sz w:val="24"/>
          <w:szCs w:val="24"/>
          <w:lang w:val="es-MX"/>
        </w:rPr>
        <w:t>igual período de</w:t>
      </w:r>
      <w:r w:rsidR="00C3252C" w:rsidRPr="00275C1D">
        <w:rPr>
          <w:rFonts w:ascii="Futura Lt BT" w:eastAsia="Calibri" w:hAnsi="Futura Lt BT" w:cs="Courier New"/>
          <w:sz w:val="24"/>
          <w:szCs w:val="24"/>
          <w:lang w:val="es-MX"/>
        </w:rPr>
        <w:t xml:space="preserve"> 202</w:t>
      </w:r>
      <w:r w:rsidR="001C3985" w:rsidRPr="00275C1D">
        <w:rPr>
          <w:rFonts w:ascii="Futura Lt BT" w:eastAsia="Calibri" w:hAnsi="Futura Lt BT" w:cs="Courier New"/>
          <w:sz w:val="24"/>
          <w:szCs w:val="24"/>
          <w:lang w:val="es-MX"/>
        </w:rPr>
        <w:t>3</w:t>
      </w:r>
      <w:r w:rsidR="00C3252C" w:rsidRPr="00275C1D">
        <w:rPr>
          <w:rFonts w:ascii="Futura Lt BT" w:eastAsia="Calibri" w:hAnsi="Futura Lt BT" w:cs="Courier New"/>
          <w:sz w:val="24"/>
          <w:szCs w:val="24"/>
          <w:lang w:val="es-MX"/>
        </w:rPr>
        <w:t>)</w:t>
      </w:r>
      <w:r w:rsidRPr="00275C1D">
        <w:rPr>
          <w:rFonts w:ascii="Futura Lt BT" w:eastAsia="Calibri" w:hAnsi="Futura Lt BT" w:cs="Courier New"/>
          <w:sz w:val="24"/>
          <w:szCs w:val="24"/>
          <w:lang w:val="es-MX"/>
        </w:rPr>
        <w:t xml:space="preserve">, </w:t>
      </w:r>
      <w:r w:rsidR="005F08C1" w:rsidRPr="00275C1D">
        <w:rPr>
          <w:rFonts w:ascii="Futura Lt BT" w:eastAsia="Calibri" w:hAnsi="Futura Lt BT" w:cs="Courier New"/>
          <w:sz w:val="24"/>
          <w:szCs w:val="24"/>
          <w:lang w:val="es-MX"/>
        </w:rPr>
        <w:t xml:space="preserve">como resultado </w:t>
      </w:r>
      <w:r w:rsidR="0047512E" w:rsidRPr="00275C1D">
        <w:rPr>
          <w:rFonts w:ascii="Futura Lt BT" w:eastAsia="Calibri" w:hAnsi="Futura Lt BT" w:cs="Courier New"/>
          <w:sz w:val="24"/>
          <w:szCs w:val="24"/>
          <w:lang w:val="es-MX"/>
        </w:rPr>
        <w:t>de desembolsos externos recibidos (excluyendo créditos comerciales</w:t>
      </w:r>
      <w:r w:rsidR="00267414" w:rsidRPr="00275C1D">
        <w:rPr>
          <w:rFonts w:ascii="Futura Lt BT" w:eastAsia="Calibri" w:hAnsi="Futura Lt BT" w:cs="Courier New"/>
          <w:sz w:val="24"/>
          <w:szCs w:val="24"/>
          <w:lang w:val="es-MX"/>
        </w:rPr>
        <w:t xml:space="preserve"> con empresas relacionadas</w:t>
      </w:r>
      <w:r w:rsidR="0047512E" w:rsidRPr="00275C1D">
        <w:rPr>
          <w:rFonts w:ascii="Futura Lt BT" w:eastAsia="Calibri" w:hAnsi="Futura Lt BT" w:cs="Courier New"/>
          <w:sz w:val="24"/>
          <w:szCs w:val="24"/>
          <w:lang w:val="es-MX"/>
        </w:rPr>
        <w:t xml:space="preserve">) </w:t>
      </w:r>
      <w:r w:rsidR="005F08C1" w:rsidRPr="00275C1D">
        <w:rPr>
          <w:rFonts w:ascii="Futura Lt BT" w:eastAsia="Calibri" w:hAnsi="Futura Lt BT" w:cs="Courier New"/>
          <w:sz w:val="24"/>
          <w:szCs w:val="24"/>
          <w:lang w:val="es-MX"/>
        </w:rPr>
        <w:t xml:space="preserve">de </w:t>
      </w:r>
      <w:r w:rsidR="000320C6" w:rsidRPr="00275C1D">
        <w:rPr>
          <w:rFonts w:ascii="Futura Lt BT" w:eastAsia="Calibri" w:hAnsi="Futura Lt BT" w:cs="Courier New"/>
          <w:sz w:val="24"/>
          <w:szCs w:val="24"/>
          <w:lang w:val="es-MX"/>
        </w:rPr>
        <w:t>168</w:t>
      </w:r>
      <w:r w:rsidR="009E4DEB" w:rsidRPr="00275C1D">
        <w:rPr>
          <w:rFonts w:ascii="Futura Lt BT" w:eastAsia="Calibri" w:hAnsi="Futura Lt BT" w:cs="Courier New"/>
          <w:sz w:val="24"/>
          <w:szCs w:val="24"/>
          <w:lang w:val="es-MX"/>
        </w:rPr>
        <w:t>.</w:t>
      </w:r>
      <w:r w:rsidR="000320C6" w:rsidRPr="00275C1D">
        <w:rPr>
          <w:rFonts w:ascii="Futura Lt BT" w:eastAsia="Calibri" w:hAnsi="Futura Lt BT" w:cs="Courier New"/>
          <w:sz w:val="24"/>
          <w:szCs w:val="24"/>
          <w:lang w:val="es-MX"/>
        </w:rPr>
        <w:t>2</w:t>
      </w:r>
      <w:r w:rsidR="009E4DEB" w:rsidRPr="00275C1D">
        <w:rPr>
          <w:rFonts w:ascii="Futura Lt BT" w:eastAsia="Calibri" w:hAnsi="Futura Lt BT" w:cs="Courier New"/>
          <w:sz w:val="24"/>
          <w:szCs w:val="24"/>
          <w:lang w:val="es-MX"/>
        </w:rPr>
        <w:t xml:space="preserve"> </w:t>
      </w:r>
      <w:r w:rsidR="005F08C1" w:rsidRPr="00275C1D">
        <w:rPr>
          <w:rFonts w:ascii="Futura Lt BT" w:eastAsia="Calibri" w:hAnsi="Futura Lt BT" w:cs="Courier New"/>
          <w:sz w:val="24"/>
          <w:szCs w:val="24"/>
          <w:lang w:val="es-MX"/>
        </w:rPr>
        <w:t xml:space="preserve">millones de dólares, y pago de amortizaciones </w:t>
      </w:r>
      <w:r w:rsidR="0047512E" w:rsidRPr="00275C1D">
        <w:rPr>
          <w:rFonts w:ascii="Futura Lt BT" w:eastAsia="Calibri" w:hAnsi="Futura Lt BT" w:cs="Courier New"/>
          <w:sz w:val="24"/>
          <w:szCs w:val="24"/>
          <w:lang w:val="es-MX"/>
        </w:rPr>
        <w:t xml:space="preserve">de deuda externa </w:t>
      </w:r>
      <w:r w:rsidR="005F08C1" w:rsidRPr="00275C1D">
        <w:rPr>
          <w:rFonts w:ascii="Futura Lt BT" w:eastAsia="Calibri" w:hAnsi="Futura Lt BT" w:cs="Courier New"/>
          <w:sz w:val="24"/>
          <w:szCs w:val="24"/>
          <w:lang w:val="es-MX"/>
        </w:rPr>
        <w:t xml:space="preserve">de </w:t>
      </w:r>
      <w:r w:rsidR="000320C6" w:rsidRPr="00275C1D">
        <w:rPr>
          <w:rFonts w:ascii="Futura Lt BT" w:eastAsia="Calibri" w:hAnsi="Futura Lt BT" w:cs="Courier New"/>
          <w:sz w:val="24"/>
          <w:szCs w:val="24"/>
          <w:lang w:val="es-MX"/>
        </w:rPr>
        <w:t>112</w:t>
      </w:r>
      <w:r w:rsidR="002D0AE5" w:rsidRPr="00275C1D">
        <w:rPr>
          <w:rFonts w:ascii="Futura Lt BT" w:eastAsia="Calibri" w:hAnsi="Futura Lt BT" w:cs="Courier New"/>
          <w:sz w:val="24"/>
          <w:szCs w:val="24"/>
          <w:lang w:val="es-MX"/>
        </w:rPr>
        <w:t>.</w:t>
      </w:r>
      <w:r w:rsidR="000320C6" w:rsidRPr="00275C1D">
        <w:rPr>
          <w:rFonts w:ascii="Futura Lt BT" w:eastAsia="Calibri" w:hAnsi="Futura Lt BT" w:cs="Courier New"/>
          <w:sz w:val="24"/>
          <w:szCs w:val="24"/>
          <w:lang w:val="es-MX"/>
        </w:rPr>
        <w:t>4</w:t>
      </w:r>
      <w:r w:rsidR="005F08C1" w:rsidRPr="00275C1D">
        <w:rPr>
          <w:rFonts w:ascii="Futura Lt BT" w:eastAsia="Calibri" w:hAnsi="Futura Lt BT" w:cs="Courier New"/>
          <w:sz w:val="24"/>
          <w:szCs w:val="24"/>
          <w:lang w:val="es-MX"/>
        </w:rPr>
        <w:t xml:space="preserve"> millones de </w:t>
      </w:r>
      <w:r w:rsidR="005F08C1" w:rsidRPr="00275C1D">
        <w:rPr>
          <w:rFonts w:ascii="Futura Lt BT" w:eastAsia="Calibri" w:hAnsi="Futura Lt BT" w:cs="Courier New"/>
          <w:sz w:val="24"/>
          <w:szCs w:val="24"/>
          <w:lang w:val="es-MX"/>
        </w:rPr>
        <w:lastRenderedPageBreak/>
        <w:t>dólares, entre otros ajustes devengados.</w:t>
      </w:r>
      <w:bookmarkEnd w:id="15"/>
      <w:r w:rsidRPr="00275C1D">
        <w:rPr>
          <w:rFonts w:ascii="Futura Lt BT" w:eastAsia="Calibri" w:hAnsi="Futura Lt BT" w:cs="Courier New"/>
          <w:sz w:val="24"/>
          <w:szCs w:val="24"/>
          <w:lang w:val="es-MX"/>
        </w:rPr>
        <w:t xml:space="preserve"> </w:t>
      </w:r>
      <w:r w:rsidR="0066728B" w:rsidRPr="00275C1D">
        <w:rPr>
          <w:rFonts w:ascii="Futura Lt BT" w:eastAsia="Calibri" w:hAnsi="Futura Lt BT" w:cs="Courier New"/>
          <w:sz w:val="24"/>
          <w:szCs w:val="24"/>
          <w:lang w:val="es-MX"/>
        </w:rPr>
        <w:t xml:space="preserve">Así, al primer semestre del año, se registraron </w:t>
      </w:r>
      <w:r w:rsidR="00DA4C3D" w:rsidRPr="00275C1D">
        <w:rPr>
          <w:rFonts w:ascii="Futura Lt BT" w:eastAsia="Calibri" w:hAnsi="Futura Lt BT" w:cs="Courier New"/>
          <w:sz w:val="24"/>
          <w:szCs w:val="24"/>
          <w:lang w:val="es-MX"/>
        </w:rPr>
        <w:t>desembolsos</w:t>
      </w:r>
      <w:r w:rsidR="0066728B" w:rsidRPr="00275C1D">
        <w:rPr>
          <w:rFonts w:ascii="Futura Lt BT" w:eastAsia="Calibri" w:hAnsi="Futura Lt BT" w:cs="Courier New"/>
          <w:sz w:val="24"/>
          <w:szCs w:val="24"/>
          <w:lang w:val="es-MX"/>
        </w:rPr>
        <w:t xml:space="preserve"> net</w:t>
      </w:r>
      <w:r w:rsidR="00DA4C3D" w:rsidRPr="00275C1D">
        <w:rPr>
          <w:rFonts w:ascii="Futura Lt BT" w:eastAsia="Calibri" w:hAnsi="Futura Lt BT" w:cs="Courier New"/>
          <w:sz w:val="24"/>
          <w:szCs w:val="24"/>
          <w:lang w:val="es-MX"/>
        </w:rPr>
        <w:t>o</w:t>
      </w:r>
      <w:r w:rsidR="0066728B" w:rsidRPr="00275C1D">
        <w:rPr>
          <w:rFonts w:ascii="Futura Lt BT" w:eastAsia="Calibri" w:hAnsi="Futura Lt BT" w:cs="Courier New"/>
          <w:sz w:val="24"/>
          <w:szCs w:val="24"/>
          <w:lang w:val="es-MX"/>
        </w:rPr>
        <w:t xml:space="preserve">s de deuda externa de </w:t>
      </w:r>
      <w:r w:rsidR="000D4C44" w:rsidRPr="00275C1D">
        <w:rPr>
          <w:rFonts w:ascii="Futura Lt BT" w:eastAsia="Calibri" w:hAnsi="Futura Lt BT" w:cs="Courier New"/>
          <w:sz w:val="24"/>
          <w:szCs w:val="24"/>
          <w:lang w:val="es-MX"/>
        </w:rPr>
        <w:t>4</w:t>
      </w:r>
      <w:r w:rsidR="00267414" w:rsidRPr="00275C1D">
        <w:rPr>
          <w:rFonts w:ascii="Futura Lt BT" w:eastAsia="Calibri" w:hAnsi="Futura Lt BT" w:cs="Courier New"/>
          <w:sz w:val="24"/>
          <w:szCs w:val="24"/>
          <w:lang w:val="es-MX"/>
        </w:rPr>
        <w:t>2.4</w:t>
      </w:r>
      <w:r w:rsidR="0066728B" w:rsidRPr="00275C1D">
        <w:rPr>
          <w:rFonts w:ascii="Futura Lt BT" w:eastAsia="Calibri" w:hAnsi="Futura Lt BT" w:cs="Courier New"/>
          <w:sz w:val="24"/>
          <w:szCs w:val="24"/>
          <w:lang w:val="es-MX"/>
        </w:rPr>
        <w:t xml:space="preserve"> millones de dólares (</w:t>
      </w:r>
      <w:r w:rsidR="00267414" w:rsidRPr="00275C1D">
        <w:rPr>
          <w:rFonts w:ascii="Futura Lt BT" w:eastAsia="Calibri" w:hAnsi="Futura Lt BT" w:cs="Courier New"/>
          <w:sz w:val="24"/>
          <w:szCs w:val="24"/>
          <w:lang w:val="es-MX"/>
        </w:rPr>
        <w:t xml:space="preserve">amortización neta de </w:t>
      </w:r>
      <w:r w:rsidR="0066728B" w:rsidRPr="00275C1D">
        <w:rPr>
          <w:rFonts w:ascii="Futura Lt BT" w:eastAsia="Calibri" w:hAnsi="Futura Lt BT" w:cs="Courier New"/>
          <w:sz w:val="24"/>
          <w:szCs w:val="24"/>
          <w:lang w:val="es-MX"/>
        </w:rPr>
        <w:t>US$8</w:t>
      </w:r>
      <w:r w:rsidR="00267414" w:rsidRPr="00275C1D">
        <w:rPr>
          <w:rFonts w:ascii="Futura Lt BT" w:eastAsia="Calibri" w:hAnsi="Futura Lt BT" w:cs="Courier New"/>
          <w:sz w:val="24"/>
          <w:szCs w:val="24"/>
          <w:lang w:val="es-MX"/>
        </w:rPr>
        <w:t>7.0</w:t>
      </w:r>
      <w:r w:rsidR="0066728B" w:rsidRPr="00275C1D">
        <w:rPr>
          <w:rFonts w:ascii="Futura Lt BT" w:eastAsia="Calibri" w:hAnsi="Futura Lt BT" w:cs="Courier New"/>
          <w:sz w:val="24"/>
          <w:szCs w:val="24"/>
          <w:lang w:val="es-MX"/>
        </w:rPr>
        <w:t xml:space="preserve"> millones en igual período de 2023).</w:t>
      </w:r>
      <w:r w:rsidR="00971715">
        <w:rPr>
          <w:rFonts w:ascii="Futura Lt BT" w:eastAsia="Calibri" w:hAnsi="Futura Lt BT" w:cs="Courier New"/>
          <w:sz w:val="24"/>
          <w:szCs w:val="24"/>
          <w:lang w:val="es-MX"/>
        </w:rPr>
        <w:t xml:space="preserve"> </w:t>
      </w:r>
    </w:p>
    <w:p w:rsidR="00F55DDA" w:rsidRDefault="00F55DDA" w:rsidP="000200A3">
      <w:pPr>
        <w:pStyle w:val="Textoindependiente"/>
        <w:spacing w:line="276" w:lineRule="auto"/>
      </w:pPr>
    </w:p>
    <w:p w:rsidR="001C3985" w:rsidRDefault="003E5C4D" w:rsidP="000200A3">
      <w:pPr>
        <w:pStyle w:val="Textoindependiente"/>
        <w:spacing w:line="276" w:lineRule="auto"/>
      </w:pPr>
      <w:r w:rsidRPr="001B5922">
        <w:rPr>
          <w:noProof/>
        </w:rPr>
        <w:drawing>
          <wp:anchor distT="0" distB="0" distL="114300" distR="114300" simplePos="0" relativeHeight="251874304" behindDoc="0" locked="0" layoutInCell="1" allowOverlap="1">
            <wp:simplePos x="0" y="0"/>
            <wp:positionH relativeFrom="margin">
              <wp:align>left</wp:align>
            </wp:positionH>
            <wp:positionV relativeFrom="paragraph">
              <wp:posOffset>-126839</wp:posOffset>
            </wp:positionV>
            <wp:extent cx="2671762" cy="2170430"/>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1846" cy="21786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5E27">
        <w:rPr>
          <w:noProof/>
        </w:rPr>
        <w:drawing>
          <wp:anchor distT="0" distB="0" distL="114300" distR="114300" simplePos="0" relativeHeight="251865088" behindDoc="0" locked="0" layoutInCell="1" allowOverlap="1">
            <wp:simplePos x="0" y="0"/>
            <wp:positionH relativeFrom="column">
              <wp:posOffset>2834640</wp:posOffset>
            </wp:positionH>
            <wp:positionV relativeFrom="paragraph">
              <wp:posOffset>24130</wp:posOffset>
            </wp:positionV>
            <wp:extent cx="2801980" cy="200279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5359" cy="20052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3985" w:rsidRDefault="001C3985" w:rsidP="000200A3">
      <w:pPr>
        <w:pStyle w:val="Textoindependiente"/>
        <w:spacing w:line="276" w:lineRule="auto"/>
      </w:pPr>
    </w:p>
    <w:p w:rsidR="001C3985" w:rsidRDefault="001C3985" w:rsidP="000200A3">
      <w:pPr>
        <w:pStyle w:val="Textoindependiente"/>
        <w:spacing w:line="276" w:lineRule="auto"/>
      </w:pPr>
    </w:p>
    <w:p w:rsidR="0047512E" w:rsidRDefault="0047512E" w:rsidP="000200A3">
      <w:pPr>
        <w:pStyle w:val="Textoindependiente"/>
        <w:spacing w:line="276" w:lineRule="auto"/>
      </w:pPr>
    </w:p>
    <w:p w:rsidR="00A713AB" w:rsidRDefault="00A713AB" w:rsidP="000200A3">
      <w:pPr>
        <w:pStyle w:val="Textoindependiente"/>
        <w:spacing w:line="276" w:lineRule="auto"/>
      </w:pPr>
    </w:p>
    <w:p w:rsidR="001C0C0E" w:rsidRDefault="001C0C0E" w:rsidP="000200A3">
      <w:pPr>
        <w:pStyle w:val="Textoindependiente"/>
        <w:spacing w:line="276" w:lineRule="auto"/>
      </w:pPr>
    </w:p>
    <w:p w:rsidR="004527C7" w:rsidRDefault="004527C7" w:rsidP="000200A3">
      <w:pPr>
        <w:pStyle w:val="Textoindependiente"/>
        <w:spacing w:line="276" w:lineRule="auto"/>
      </w:pPr>
    </w:p>
    <w:p w:rsidR="004527C7" w:rsidRDefault="004527C7" w:rsidP="000200A3">
      <w:pPr>
        <w:pStyle w:val="Textoindependiente"/>
        <w:spacing w:line="276" w:lineRule="auto"/>
      </w:pPr>
    </w:p>
    <w:p w:rsidR="004527C7" w:rsidRDefault="004527C7" w:rsidP="000200A3">
      <w:pPr>
        <w:pStyle w:val="Textoindependiente"/>
        <w:spacing w:line="276" w:lineRule="auto"/>
      </w:pPr>
    </w:p>
    <w:p w:rsidR="004527C7" w:rsidRDefault="004527C7" w:rsidP="000200A3">
      <w:pPr>
        <w:pStyle w:val="Textoindependiente"/>
        <w:spacing w:line="276" w:lineRule="auto"/>
      </w:pPr>
    </w:p>
    <w:p w:rsidR="004527C7" w:rsidRDefault="004527C7" w:rsidP="000200A3">
      <w:pPr>
        <w:pStyle w:val="Textoindependiente"/>
        <w:spacing w:line="276" w:lineRule="auto"/>
      </w:pPr>
    </w:p>
    <w:p w:rsidR="00B5102B" w:rsidRPr="00F55DDA" w:rsidRDefault="0047512E" w:rsidP="00F55DDA">
      <w:pPr>
        <w:spacing w:line="276" w:lineRule="auto"/>
        <w:jc w:val="both"/>
        <w:rPr>
          <w:rFonts w:ascii="Futura Lt BT" w:eastAsia="Calibri" w:hAnsi="Futura Lt BT" w:cs="Courier New"/>
          <w:sz w:val="24"/>
          <w:szCs w:val="24"/>
          <w:lang w:val="es-MX"/>
        </w:rPr>
      </w:pPr>
      <w:r w:rsidRPr="00F55DDA">
        <w:rPr>
          <w:rFonts w:ascii="Futura Lt BT" w:eastAsia="Calibri" w:hAnsi="Futura Lt BT" w:cs="Courier New"/>
          <w:sz w:val="24"/>
          <w:szCs w:val="24"/>
          <w:lang w:val="es-MX"/>
        </w:rPr>
        <w:t xml:space="preserve">En este trimestre, </w:t>
      </w:r>
      <w:r w:rsidR="00F55DDA" w:rsidRPr="00F55DDA">
        <w:rPr>
          <w:rFonts w:ascii="Futura Lt BT" w:eastAsia="Calibri" w:hAnsi="Futura Lt BT" w:cs="Courier New"/>
          <w:sz w:val="24"/>
          <w:szCs w:val="24"/>
          <w:lang w:val="es-MX"/>
        </w:rPr>
        <w:t xml:space="preserve">se registraron desembolsos netos para </w:t>
      </w:r>
      <w:r w:rsidR="00020163" w:rsidRPr="00F55DDA">
        <w:rPr>
          <w:rFonts w:ascii="Futura Lt BT" w:eastAsia="Calibri" w:hAnsi="Futura Lt BT" w:cs="Courier New"/>
          <w:sz w:val="24"/>
          <w:szCs w:val="24"/>
          <w:lang w:val="es-MX"/>
        </w:rPr>
        <w:t>el Gobierno</w:t>
      </w:r>
      <w:r w:rsidR="00F55DDA" w:rsidRPr="00F55DDA">
        <w:rPr>
          <w:rFonts w:ascii="Futura Lt BT" w:eastAsia="Calibri" w:hAnsi="Futura Lt BT" w:cs="Courier New"/>
          <w:sz w:val="24"/>
          <w:szCs w:val="24"/>
          <w:lang w:val="es-MX"/>
        </w:rPr>
        <w:t xml:space="preserve"> Central </w:t>
      </w:r>
      <w:r w:rsidR="0035228C" w:rsidRPr="00F55DDA">
        <w:rPr>
          <w:rFonts w:ascii="Futura Lt BT" w:eastAsia="Calibri" w:hAnsi="Futura Lt BT" w:cs="Courier New"/>
          <w:sz w:val="24"/>
          <w:szCs w:val="24"/>
          <w:lang w:val="es-MX"/>
        </w:rPr>
        <w:t>(US</w:t>
      </w:r>
      <w:r w:rsidR="00F55DDA" w:rsidRPr="00F55DDA">
        <w:rPr>
          <w:rFonts w:ascii="Futura Lt BT" w:eastAsia="Calibri" w:hAnsi="Futura Lt BT" w:cs="Courier New"/>
          <w:sz w:val="24"/>
          <w:szCs w:val="24"/>
          <w:lang w:val="es-MX"/>
        </w:rPr>
        <w:t>$42.0 millones),</w:t>
      </w:r>
      <w:r w:rsidR="00020163" w:rsidRPr="00F55DDA">
        <w:rPr>
          <w:rFonts w:ascii="Futura Lt BT" w:eastAsia="Calibri" w:hAnsi="Futura Lt BT" w:cs="Courier New"/>
          <w:sz w:val="24"/>
          <w:szCs w:val="24"/>
          <w:lang w:val="es-MX"/>
        </w:rPr>
        <w:t xml:space="preserve"> el BCN </w:t>
      </w:r>
      <w:r w:rsidR="00F55DDA" w:rsidRPr="00F55DDA">
        <w:rPr>
          <w:rFonts w:ascii="Futura Lt BT" w:eastAsia="Calibri" w:hAnsi="Futura Lt BT" w:cs="Courier New"/>
          <w:sz w:val="24"/>
          <w:szCs w:val="24"/>
          <w:lang w:val="es-MX"/>
        </w:rPr>
        <w:t>(US$</w:t>
      </w:r>
      <w:r w:rsidR="00F67FF7" w:rsidRPr="00F55DDA">
        <w:rPr>
          <w:rFonts w:ascii="Futura Lt BT" w:eastAsia="Calibri" w:hAnsi="Futura Lt BT" w:cs="Courier New"/>
          <w:sz w:val="24"/>
          <w:szCs w:val="24"/>
          <w:lang w:val="es-MX"/>
        </w:rPr>
        <w:t>3.5</w:t>
      </w:r>
      <w:r w:rsidR="00020163" w:rsidRPr="00F55DDA">
        <w:rPr>
          <w:rFonts w:ascii="Futura Lt BT" w:eastAsia="Calibri" w:hAnsi="Futura Lt BT" w:cs="Courier New"/>
          <w:sz w:val="24"/>
          <w:szCs w:val="24"/>
          <w:lang w:val="es-MX"/>
        </w:rPr>
        <w:t xml:space="preserve"> millone</w:t>
      </w:r>
      <w:r w:rsidR="00F55DDA" w:rsidRPr="00F55DDA">
        <w:rPr>
          <w:rFonts w:ascii="Futura Lt BT" w:eastAsia="Calibri" w:hAnsi="Futura Lt BT" w:cs="Courier New"/>
          <w:sz w:val="24"/>
          <w:szCs w:val="24"/>
          <w:lang w:val="es-MX"/>
        </w:rPr>
        <w:t>s) y</w:t>
      </w:r>
      <w:r w:rsidR="000D4C44" w:rsidRPr="00F55DDA">
        <w:rPr>
          <w:rFonts w:ascii="Futura Lt BT" w:eastAsia="Calibri" w:hAnsi="Futura Lt BT" w:cs="Courier New"/>
          <w:sz w:val="24"/>
          <w:szCs w:val="24"/>
          <w:lang w:val="es-MX"/>
        </w:rPr>
        <w:t xml:space="preserve"> el resto del sector privado </w:t>
      </w:r>
      <w:r w:rsidR="00F55DDA" w:rsidRPr="00F55DDA">
        <w:rPr>
          <w:rFonts w:ascii="Futura Lt BT" w:eastAsia="Calibri" w:hAnsi="Futura Lt BT" w:cs="Courier New"/>
          <w:sz w:val="24"/>
          <w:szCs w:val="24"/>
          <w:lang w:val="es-MX"/>
        </w:rPr>
        <w:t>(US$</w:t>
      </w:r>
      <w:r w:rsidR="000D4C44" w:rsidRPr="00F55DDA">
        <w:rPr>
          <w:rFonts w:ascii="Futura Lt BT" w:eastAsia="Calibri" w:hAnsi="Futura Lt BT" w:cs="Courier New"/>
          <w:sz w:val="24"/>
          <w:szCs w:val="24"/>
          <w:lang w:val="es-MX"/>
        </w:rPr>
        <w:t>1.3 millones</w:t>
      </w:r>
      <w:r w:rsidR="00F55DDA" w:rsidRPr="00F55DDA">
        <w:rPr>
          <w:rFonts w:ascii="Futura Lt BT" w:eastAsia="Calibri" w:hAnsi="Futura Lt BT" w:cs="Courier New"/>
          <w:sz w:val="24"/>
          <w:szCs w:val="24"/>
          <w:lang w:val="es-MX"/>
        </w:rPr>
        <w:t>)</w:t>
      </w:r>
      <w:r w:rsidR="000D4C44" w:rsidRPr="00F55DDA">
        <w:rPr>
          <w:rFonts w:ascii="Futura Lt BT" w:eastAsia="Calibri" w:hAnsi="Futura Lt BT" w:cs="Courier New"/>
          <w:sz w:val="24"/>
          <w:szCs w:val="24"/>
          <w:lang w:val="es-MX"/>
        </w:rPr>
        <w:t xml:space="preserve">. </w:t>
      </w:r>
      <w:r w:rsidR="00020163" w:rsidRPr="00F55DDA">
        <w:rPr>
          <w:rFonts w:ascii="Futura Lt BT" w:eastAsia="Calibri" w:hAnsi="Futura Lt BT" w:cs="Courier New"/>
          <w:sz w:val="24"/>
          <w:szCs w:val="24"/>
          <w:lang w:val="es-MX"/>
        </w:rPr>
        <w:t>Por su parte, l</w:t>
      </w:r>
      <w:r w:rsidR="003B1347" w:rsidRPr="00F55DDA">
        <w:rPr>
          <w:rFonts w:ascii="Futura Lt BT" w:eastAsia="Calibri" w:hAnsi="Futura Lt BT" w:cs="Courier New"/>
          <w:sz w:val="24"/>
          <w:szCs w:val="24"/>
          <w:lang w:val="es-MX"/>
        </w:rPr>
        <w:t xml:space="preserve">as instituciones financieras captadoras de depósitos </w:t>
      </w:r>
      <w:r w:rsidR="000D4C44" w:rsidRPr="00F55DDA">
        <w:rPr>
          <w:rFonts w:ascii="Futura Lt BT" w:eastAsia="Calibri" w:hAnsi="Futura Lt BT" w:cs="Courier New"/>
          <w:sz w:val="24"/>
          <w:szCs w:val="24"/>
          <w:lang w:val="es-MX"/>
        </w:rPr>
        <w:t xml:space="preserve">registraron amortizaciones netas de </w:t>
      </w:r>
      <w:r w:rsidR="00020163" w:rsidRPr="00F55DDA">
        <w:rPr>
          <w:rFonts w:ascii="Futura Lt BT" w:eastAsia="Calibri" w:hAnsi="Futura Lt BT" w:cs="Courier New"/>
          <w:sz w:val="24"/>
          <w:szCs w:val="24"/>
          <w:lang w:val="es-MX"/>
        </w:rPr>
        <w:t>8.</w:t>
      </w:r>
      <w:r w:rsidR="000D4C44" w:rsidRPr="00F55DDA">
        <w:rPr>
          <w:rFonts w:ascii="Futura Lt BT" w:eastAsia="Calibri" w:hAnsi="Futura Lt BT" w:cs="Courier New"/>
          <w:sz w:val="24"/>
          <w:szCs w:val="24"/>
          <w:lang w:val="es-MX"/>
        </w:rPr>
        <w:t>7</w:t>
      </w:r>
      <w:r w:rsidR="00020163" w:rsidRPr="00F55DDA">
        <w:rPr>
          <w:rFonts w:ascii="Futura Lt BT" w:eastAsia="Calibri" w:hAnsi="Futura Lt BT" w:cs="Courier New"/>
          <w:sz w:val="24"/>
          <w:szCs w:val="24"/>
          <w:lang w:val="es-MX"/>
        </w:rPr>
        <w:t xml:space="preserve"> millones de dólares. </w:t>
      </w:r>
      <w:r w:rsidR="00C629D7" w:rsidRPr="00F55DDA">
        <w:rPr>
          <w:rFonts w:ascii="Futura Lt BT" w:eastAsia="Calibri" w:hAnsi="Futura Lt BT" w:cs="Courier New"/>
          <w:sz w:val="24"/>
          <w:szCs w:val="24"/>
          <w:lang w:val="es-MX"/>
        </w:rPr>
        <w:t>El increment</w:t>
      </w:r>
      <w:r w:rsidR="00F55DDA" w:rsidRPr="00F55DDA">
        <w:rPr>
          <w:rFonts w:ascii="Futura Lt BT" w:eastAsia="Calibri" w:hAnsi="Futura Lt BT" w:cs="Courier New"/>
          <w:sz w:val="24"/>
          <w:szCs w:val="24"/>
          <w:lang w:val="es-MX"/>
        </w:rPr>
        <w:t>o</w:t>
      </w:r>
      <w:r w:rsidR="00C629D7" w:rsidRPr="00F55DDA">
        <w:rPr>
          <w:rFonts w:ascii="Futura Lt BT" w:eastAsia="Calibri" w:hAnsi="Futura Lt BT" w:cs="Courier New"/>
          <w:sz w:val="24"/>
          <w:szCs w:val="24"/>
          <w:lang w:val="es-MX"/>
        </w:rPr>
        <w:t xml:space="preserve"> </w:t>
      </w:r>
      <w:r w:rsidR="00F55DDA" w:rsidRPr="00F55DDA">
        <w:rPr>
          <w:rFonts w:ascii="Futura Lt BT" w:eastAsia="Calibri" w:hAnsi="Futura Lt BT" w:cs="Courier New"/>
          <w:sz w:val="24"/>
          <w:szCs w:val="24"/>
          <w:lang w:val="es-MX"/>
        </w:rPr>
        <w:t>del</w:t>
      </w:r>
      <w:r w:rsidR="00C629D7" w:rsidRPr="00F55DDA">
        <w:rPr>
          <w:rFonts w:ascii="Futura Lt BT" w:eastAsia="Calibri" w:hAnsi="Futura Lt BT" w:cs="Courier New"/>
          <w:sz w:val="24"/>
          <w:szCs w:val="24"/>
          <w:lang w:val="es-MX"/>
        </w:rPr>
        <w:t xml:space="preserve"> pasivo de deuda externa </w:t>
      </w:r>
      <w:r w:rsidR="00F55DDA" w:rsidRPr="00F55DDA">
        <w:rPr>
          <w:rFonts w:ascii="Futura Lt BT" w:eastAsia="Calibri" w:hAnsi="Futura Lt BT" w:cs="Courier New"/>
          <w:sz w:val="24"/>
          <w:szCs w:val="24"/>
          <w:lang w:val="es-MX"/>
        </w:rPr>
        <w:t>del Gobierno Central fue el resultado</w:t>
      </w:r>
      <w:r w:rsidR="00C629D7" w:rsidRPr="00F55DDA">
        <w:rPr>
          <w:rFonts w:ascii="Futura Lt BT" w:eastAsia="Calibri" w:hAnsi="Futura Lt BT" w:cs="Courier New"/>
          <w:sz w:val="24"/>
          <w:szCs w:val="24"/>
          <w:lang w:val="es-MX"/>
        </w:rPr>
        <w:t xml:space="preserve"> </w:t>
      </w:r>
      <w:r w:rsidR="00F55DDA" w:rsidRPr="00F55DDA">
        <w:rPr>
          <w:rFonts w:ascii="Futura Lt BT" w:eastAsia="Calibri" w:hAnsi="Futura Lt BT" w:cs="Courier New"/>
          <w:sz w:val="24"/>
          <w:szCs w:val="24"/>
          <w:lang w:val="es-MX"/>
        </w:rPr>
        <w:t>de</w:t>
      </w:r>
      <w:r w:rsidR="00C629D7" w:rsidRPr="00F55DDA">
        <w:rPr>
          <w:rFonts w:ascii="Futura Lt BT" w:eastAsia="Calibri" w:hAnsi="Futura Lt BT" w:cs="Courier New"/>
          <w:sz w:val="24"/>
          <w:szCs w:val="24"/>
          <w:lang w:val="es-MX"/>
        </w:rPr>
        <w:t xml:space="preserve"> desembolsos de préstamos externos de </w:t>
      </w:r>
      <w:r w:rsidR="00020163" w:rsidRPr="00F55DDA">
        <w:rPr>
          <w:rFonts w:ascii="Futura Lt BT" w:eastAsia="Calibri" w:hAnsi="Futura Lt BT" w:cs="Courier New"/>
          <w:sz w:val="24"/>
          <w:szCs w:val="24"/>
          <w:lang w:val="es-MX"/>
        </w:rPr>
        <w:t>1</w:t>
      </w:r>
      <w:r w:rsidR="00F67FF7" w:rsidRPr="00F55DDA">
        <w:rPr>
          <w:rFonts w:ascii="Futura Lt BT" w:eastAsia="Calibri" w:hAnsi="Futura Lt BT" w:cs="Courier New"/>
          <w:sz w:val="24"/>
          <w:szCs w:val="24"/>
          <w:lang w:val="es-MX"/>
        </w:rPr>
        <w:t>35</w:t>
      </w:r>
      <w:r w:rsidR="00C629D7" w:rsidRPr="00F55DDA">
        <w:rPr>
          <w:rFonts w:ascii="Futura Lt BT" w:eastAsia="Calibri" w:hAnsi="Futura Lt BT" w:cs="Courier New"/>
          <w:sz w:val="24"/>
          <w:szCs w:val="24"/>
          <w:lang w:val="es-MX"/>
        </w:rPr>
        <w:t>.</w:t>
      </w:r>
      <w:r w:rsidR="00020163" w:rsidRPr="00F55DDA">
        <w:rPr>
          <w:rFonts w:ascii="Futura Lt BT" w:eastAsia="Calibri" w:hAnsi="Futura Lt BT" w:cs="Courier New"/>
          <w:sz w:val="24"/>
          <w:szCs w:val="24"/>
          <w:lang w:val="es-MX"/>
        </w:rPr>
        <w:t>7</w:t>
      </w:r>
      <w:r w:rsidR="00C629D7" w:rsidRPr="00F55DDA">
        <w:rPr>
          <w:rFonts w:ascii="Futura Lt BT" w:eastAsia="Calibri" w:hAnsi="Futura Lt BT" w:cs="Courier New"/>
          <w:sz w:val="24"/>
          <w:szCs w:val="24"/>
          <w:lang w:val="es-MX"/>
        </w:rPr>
        <w:t xml:space="preserve"> millones y pago de amortización de </w:t>
      </w:r>
      <w:r w:rsidR="00F67FF7" w:rsidRPr="00F55DDA">
        <w:rPr>
          <w:rFonts w:ascii="Futura Lt BT" w:eastAsia="Calibri" w:hAnsi="Futura Lt BT" w:cs="Courier New"/>
          <w:sz w:val="24"/>
          <w:szCs w:val="24"/>
          <w:lang w:val="es-MX"/>
        </w:rPr>
        <w:t>96</w:t>
      </w:r>
      <w:r w:rsidR="00C629D7" w:rsidRPr="00F55DDA">
        <w:rPr>
          <w:rFonts w:ascii="Futura Lt BT" w:eastAsia="Calibri" w:hAnsi="Futura Lt BT" w:cs="Courier New"/>
          <w:sz w:val="24"/>
          <w:szCs w:val="24"/>
          <w:lang w:val="es-MX"/>
        </w:rPr>
        <w:t>.</w:t>
      </w:r>
      <w:r w:rsidR="00F67FF7" w:rsidRPr="00F55DDA">
        <w:rPr>
          <w:rFonts w:ascii="Futura Lt BT" w:eastAsia="Calibri" w:hAnsi="Futura Lt BT" w:cs="Courier New"/>
          <w:sz w:val="24"/>
          <w:szCs w:val="24"/>
          <w:lang w:val="es-MX"/>
        </w:rPr>
        <w:t>9</w:t>
      </w:r>
      <w:r w:rsidR="00C629D7" w:rsidRPr="00F55DDA">
        <w:rPr>
          <w:rFonts w:ascii="Futura Lt BT" w:eastAsia="Calibri" w:hAnsi="Futura Lt BT" w:cs="Courier New"/>
          <w:sz w:val="24"/>
          <w:szCs w:val="24"/>
          <w:lang w:val="es-MX"/>
        </w:rPr>
        <w:t xml:space="preserve"> millones, entre otros. </w:t>
      </w:r>
      <w:bookmarkStart w:id="16" w:name="_Hlk162016272"/>
      <w:bookmarkStart w:id="17" w:name="_Hlk156553941"/>
      <w:r w:rsidR="00310176" w:rsidRPr="00F55DDA">
        <w:rPr>
          <w:rFonts w:ascii="Futura Lt BT" w:eastAsia="Calibri" w:hAnsi="Futura Lt BT" w:cs="Courier New"/>
          <w:sz w:val="24"/>
          <w:szCs w:val="24"/>
          <w:lang w:val="es-MX"/>
        </w:rPr>
        <w:t>En términos acumulados, l</w:t>
      </w:r>
      <w:r w:rsidR="000D4C44" w:rsidRPr="00F55DDA">
        <w:rPr>
          <w:rFonts w:ascii="Futura Lt BT" w:eastAsia="Calibri" w:hAnsi="Futura Lt BT" w:cs="Courier New"/>
          <w:sz w:val="24"/>
          <w:szCs w:val="24"/>
          <w:lang w:val="es-MX"/>
        </w:rPr>
        <w:t>a</w:t>
      </w:r>
      <w:r w:rsidR="00310176" w:rsidRPr="00F55DDA">
        <w:rPr>
          <w:rFonts w:ascii="Futura Lt BT" w:eastAsia="Calibri" w:hAnsi="Futura Lt BT" w:cs="Courier New"/>
          <w:sz w:val="24"/>
          <w:szCs w:val="24"/>
          <w:lang w:val="es-MX"/>
        </w:rPr>
        <w:t xml:space="preserve">s </w:t>
      </w:r>
      <w:r w:rsidR="000D4C44" w:rsidRPr="00F55DDA">
        <w:rPr>
          <w:rFonts w:ascii="Futura Lt BT" w:eastAsia="Calibri" w:hAnsi="Futura Lt BT" w:cs="Courier New"/>
          <w:sz w:val="24"/>
          <w:szCs w:val="24"/>
          <w:lang w:val="es-MX"/>
        </w:rPr>
        <w:t>amortizaciones</w:t>
      </w:r>
      <w:r w:rsidR="00310176" w:rsidRPr="00F55DDA">
        <w:rPr>
          <w:rFonts w:ascii="Futura Lt BT" w:eastAsia="Calibri" w:hAnsi="Futura Lt BT" w:cs="Courier New"/>
          <w:sz w:val="24"/>
          <w:szCs w:val="24"/>
          <w:lang w:val="es-MX"/>
        </w:rPr>
        <w:t xml:space="preserve"> de las instituciones financieras </w:t>
      </w:r>
      <w:r w:rsidR="00357E82" w:rsidRPr="00F55DDA">
        <w:rPr>
          <w:rFonts w:ascii="Futura Lt BT" w:eastAsia="Calibri" w:hAnsi="Futura Lt BT" w:cs="Courier New"/>
          <w:sz w:val="24"/>
          <w:szCs w:val="24"/>
          <w:lang w:val="es-MX"/>
        </w:rPr>
        <w:t>fueron de 135.7</w:t>
      </w:r>
      <w:r w:rsidR="00310176" w:rsidRPr="00F55DDA">
        <w:rPr>
          <w:rFonts w:ascii="Futura Lt BT" w:eastAsia="Calibri" w:hAnsi="Futura Lt BT" w:cs="Courier New"/>
          <w:sz w:val="24"/>
          <w:szCs w:val="24"/>
          <w:lang w:val="es-MX"/>
        </w:rPr>
        <w:t xml:space="preserve"> millones de dólares</w:t>
      </w:r>
      <w:r w:rsidR="00F55DDA" w:rsidRPr="00F55DDA">
        <w:rPr>
          <w:rFonts w:ascii="Futura Lt BT" w:eastAsia="Calibri" w:hAnsi="Futura Lt BT" w:cs="Courier New"/>
          <w:sz w:val="24"/>
          <w:szCs w:val="24"/>
          <w:lang w:val="es-MX"/>
        </w:rPr>
        <w:t xml:space="preserve"> en el primer semestre de 2024</w:t>
      </w:r>
      <w:r w:rsidR="00B5102B" w:rsidRPr="00F55DDA">
        <w:rPr>
          <w:rFonts w:ascii="Futura Lt BT" w:eastAsia="Calibri" w:hAnsi="Futura Lt BT" w:cs="Courier New"/>
          <w:sz w:val="24"/>
          <w:szCs w:val="24"/>
          <w:lang w:val="es-MX"/>
        </w:rPr>
        <w:t xml:space="preserve"> (US$151.0 millones en el I semestre de 2023)</w:t>
      </w:r>
      <w:r w:rsidR="00310176" w:rsidRPr="00F55DDA">
        <w:rPr>
          <w:rFonts w:ascii="Futura Lt BT" w:eastAsia="Calibri" w:hAnsi="Futura Lt BT" w:cs="Courier New"/>
          <w:sz w:val="24"/>
          <w:szCs w:val="24"/>
          <w:lang w:val="es-MX"/>
        </w:rPr>
        <w:t>; y l</w:t>
      </w:r>
      <w:r w:rsidR="000D4C44" w:rsidRPr="00F55DDA">
        <w:rPr>
          <w:rFonts w:ascii="Futura Lt BT" w:eastAsia="Calibri" w:hAnsi="Futura Lt BT" w:cs="Courier New"/>
          <w:sz w:val="24"/>
          <w:szCs w:val="24"/>
          <w:lang w:val="es-MX"/>
        </w:rPr>
        <w:t>a</w:t>
      </w:r>
      <w:r w:rsidR="00310176" w:rsidRPr="00F55DDA">
        <w:rPr>
          <w:rFonts w:ascii="Futura Lt BT" w:eastAsia="Calibri" w:hAnsi="Futura Lt BT" w:cs="Courier New"/>
          <w:sz w:val="24"/>
          <w:szCs w:val="24"/>
          <w:lang w:val="es-MX"/>
        </w:rPr>
        <w:t xml:space="preserve">s </w:t>
      </w:r>
      <w:r w:rsidR="000D4C44" w:rsidRPr="00F55DDA">
        <w:rPr>
          <w:rFonts w:ascii="Futura Lt BT" w:eastAsia="Calibri" w:hAnsi="Futura Lt BT" w:cs="Courier New"/>
          <w:sz w:val="24"/>
          <w:szCs w:val="24"/>
          <w:lang w:val="es-MX"/>
        </w:rPr>
        <w:t>amortizaciones</w:t>
      </w:r>
      <w:r w:rsidR="00310176" w:rsidRPr="00F55DDA">
        <w:rPr>
          <w:rFonts w:ascii="Futura Lt BT" w:eastAsia="Calibri" w:hAnsi="Futura Lt BT" w:cs="Courier New"/>
          <w:sz w:val="24"/>
          <w:szCs w:val="24"/>
          <w:lang w:val="es-MX"/>
        </w:rPr>
        <w:t xml:space="preserve"> del sector privado no financiero </w:t>
      </w:r>
      <w:r w:rsidR="00B5102B" w:rsidRPr="00F55DDA">
        <w:rPr>
          <w:rFonts w:ascii="Futura Lt BT" w:eastAsia="Calibri" w:hAnsi="Futura Lt BT" w:cs="Courier New"/>
          <w:sz w:val="24"/>
          <w:szCs w:val="24"/>
          <w:lang w:val="es-MX"/>
        </w:rPr>
        <w:t>fueron de</w:t>
      </w:r>
      <w:r w:rsidR="00310176" w:rsidRPr="00F55DDA">
        <w:rPr>
          <w:rFonts w:ascii="Futura Lt BT" w:eastAsia="Calibri" w:hAnsi="Futura Lt BT" w:cs="Courier New"/>
          <w:sz w:val="24"/>
          <w:szCs w:val="24"/>
          <w:lang w:val="es-MX"/>
        </w:rPr>
        <w:t xml:space="preserve"> </w:t>
      </w:r>
      <w:r w:rsidR="00B5102B" w:rsidRPr="00F55DDA">
        <w:rPr>
          <w:rFonts w:ascii="Futura Lt BT" w:eastAsia="Calibri" w:hAnsi="Futura Lt BT" w:cs="Courier New"/>
          <w:sz w:val="24"/>
          <w:szCs w:val="24"/>
          <w:lang w:val="es-MX"/>
        </w:rPr>
        <w:t>32.</w:t>
      </w:r>
      <w:r w:rsidR="000D4C44" w:rsidRPr="00F55DDA">
        <w:rPr>
          <w:rFonts w:ascii="Futura Lt BT" w:eastAsia="Calibri" w:hAnsi="Futura Lt BT" w:cs="Courier New"/>
          <w:sz w:val="24"/>
          <w:szCs w:val="24"/>
          <w:lang w:val="es-MX"/>
        </w:rPr>
        <w:t>4</w:t>
      </w:r>
      <w:r w:rsidR="00310176" w:rsidRPr="00F55DDA">
        <w:rPr>
          <w:rFonts w:ascii="Futura Lt BT" w:eastAsia="Calibri" w:hAnsi="Futura Lt BT" w:cs="Courier New"/>
          <w:sz w:val="24"/>
          <w:szCs w:val="24"/>
          <w:lang w:val="es-MX"/>
        </w:rPr>
        <w:t xml:space="preserve"> millones </w:t>
      </w:r>
      <w:bookmarkEnd w:id="16"/>
      <w:r w:rsidR="00310176" w:rsidRPr="00F55DDA">
        <w:rPr>
          <w:rFonts w:ascii="Futura Lt BT" w:eastAsia="Calibri" w:hAnsi="Futura Lt BT" w:cs="Courier New"/>
          <w:sz w:val="24"/>
          <w:szCs w:val="24"/>
          <w:lang w:val="es-MX"/>
        </w:rPr>
        <w:t>de dólares</w:t>
      </w:r>
      <w:r w:rsidR="00B5102B" w:rsidRPr="00F55DDA">
        <w:rPr>
          <w:rFonts w:ascii="Futura Lt BT" w:eastAsia="Calibri" w:hAnsi="Futura Lt BT" w:cs="Courier New"/>
          <w:sz w:val="24"/>
          <w:szCs w:val="24"/>
          <w:lang w:val="es-MX"/>
        </w:rPr>
        <w:t xml:space="preserve"> (US$102.8 millones en el I semestre de 2023)</w:t>
      </w:r>
      <w:r w:rsidR="00310176" w:rsidRPr="00F55DDA">
        <w:rPr>
          <w:rFonts w:ascii="Futura Lt BT" w:eastAsia="Calibri" w:hAnsi="Futura Lt BT" w:cs="Courier New"/>
          <w:sz w:val="24"/>
          <w:szCs w:val="24"/>
          <w:lang w:val="es-MX"/>
        </w:rPr>
        <w:t xml:space="preserve">. </w:t>
      </w:r>
      <w:bookmarkEnd w:id="17"/>
    </w:p>
    <w:p w:rsidR="002C10A6" w:rsidRPr="00F55DDA" w:rsidRDefault="000D4C44" w:rsidP="00F55DDA">
      <w:pPr>
        <w:spacing w:line="276" w:lineRule="auto"/>
        <w:jc w:val="both"/>
        <w:rPr>
          <w:rFonts w:ascii="Futura Lt BT" w:eastAsia="Calibri" w:hAnsi="Futura Lt BT" w:cs="Courier New"/>
          <w:sz w:val="24"/>
          <w:szCs w:val="24"/>
          <w:lang w:val="es-MX"/>
        </w:rPr>
      </w:pPr>
      <w:r w:rsidRPr="00F55DDA">
        <w:rPr>
          <w:rFonts w:ascii="Futura Lt BT" w:eastAsia="Calibri" w:hAnsi="Futura Lt BT" w:cs="Courier New"/>
          <w:sz w:val="24"/>
          <w:szCs w:val="24"/>
          <w:lang w:val="es-MX"/>
        </w:rPr>
        <w:t>L</w:t>
      </w:r>
      <w:r w:rsidR="00310176" w:rsidRPr="00F55DDA">
        <w:rPr>
          <w:rFonts w:ascii="Futura Lt BT" w:eastAsia="Calibri" w:hAnsi="Futura Lt BT" w:cs="Courier New"/>
          <w:sz w:val="24"/>
          <w:szCs w:val="24"/>
          <w:lang w:val="es-MX"/>
        </w:rPr>
        <w:t>os activos de reserva</w:t>
      </w:r>
      <w:r w:rsidR="00310176" w:rsidRPr="00F55DDA">
        <w:rPr>
          <w:rFonts w:ascii="Futura Lt BT" w:eastAsia="Calibri" w:hAnsi="Futura Lt BT" w:cs="Courier New"/>
          <w:sz w:val="24"/>
          <w:szCs w:val="24"/>
          <w:vertAlign w:val="superscript"/>
          <w:lang w:val="es-MX"/>
        </w:rPr>
        <w:footnoteReference w:id="4"/>
      </w:r>
      <w:r w:rsidR="00310176" w:rsidRPr="00F55DDA">
        <w:rPr>
          <w:rFonts w:ascii="Futura Lt BT" w:eastAsia="Calibri" w:hAnsi="Futura Lt BT" w:cs="Courier New"/>
          <w:sz w:val="24"/>
          <w:szCs w:val="24"/>
          <w:lang w:val="es-MX"/>
        </w:rPr>
        <w:t xml:space="preserve"> del Banco Central registraron aumento de 1</w:t>
      </w:r>
      <w:r w:rsidR="00B33B57" w:rsidRPr="00F55DDA">
        <w:rPr>
          <w:rFonts w:ascii="Futura Lt BT" w:eastAsia="Calibri" w:hAnsi="Futura Lt BT" w:cs="Courier New"/>
          <w:sz w:val="24"/>
          <w:szCs w:val="24"/>
          <w:lang w:val="es-MX"/>
        </w:rPr>
        <w:t>88</w:t>
      </w:r>
      <w:r w:rsidR="00310176" w:rsidRPr="00F55DDA">
        <w:rPr>
          <w:rFonts w:ascii="Futura Lt BT" w:eastAsia="Calibri" w:hAnsi="Futura Lt BT" w:cs="Courier New"/>
          <w:sz w:val="24"/>
          <w:szCs w:val="24"/>
          <w:lang w:val="es-MX"/>
        </w:rPr>
        <w:t>.</w:t>
      </w:r>
      <w:r w:rsidR="00B33B57" w:rsidRPr="00F55DDA">
        <w:rPr>
          <w:rFonts w:ascii="Futura Lt BT" w:eastAsia="Calibri" w:hAnsi="Futura Lt BT" w:cs="Courier New"/>
          <w:sz w:val="24"/>
          <w:szCs w:val="24"/>
          <w:lang w:val="es-MX"/>
        </w:rPr>
        <w:t>1</w:t>
      </w:r>
      <w:r w:rsidR="00310176" w:rsidRPr="00F55DDA">
        <w:rPr>
          <w:rFonts w:ascii="Futura Lt BT" w:eastAsia="Calibri" w:hAnsi="Futura Lt BT" w:cs="Courier New"/>
          <w:sz w:val="24"/>
          <w:szCs w:val="24"/>
          <w:lang w:val="es-MX"/>
        </w:rPr>
        <w:t xml:space="preserve"> millones de dólares </w:t>
      </w:r>
      <w:r w:rsidR="0065754C">
        <w:rPr>
          <w:rFonts w:ascii="Futura Lt BT" w:eastAsia="Calibri" w:hAnsi="Futura Lt BT" w:cs="Courier New"/>
          <w:sz w:val="24"/>
          <w:szCs w:val="24"/>
          <w:lang w:val="es-MX"/>
        </w:rPr>
        <w:t xml:space="preserve">en el segundo trimestre de 2024 </w:t>
      </w:r>
      <w:r w:rsidR="00310176" w:rsidRPr="00F55DDA">
        <w:rPr>
          <w:rFonts w:ascii="Futura Lt BT" w:eastAsia="Calibri" w:hAnsi="Futura Lt BT" w:cs="Courier New"/>
          <w:sz w:val="24"/>
          <w:szCs w:val="24"/>
          <w:lang w:val="es-MX"/>
        </w:rPr>
        <w:t xml:space="preserve">(US$192.4 millones en RIB), </w:t>
      </w:r>
      <w:bookmarkStart w:id="18" w:name="_Hlk162017264"/>
      <w:r w:rsidR="00310176" w:rsidRPr="00F55DDA">
        <w:rPr>
          <w:rFonts w:ascii="Futura Lt BT" w:eastAsia="Calibri" w:hAnsi="Futura Lt BT" w:cs="Courier New"/>
          <w:sz w:val="24"/>
          <w:szCs w:val="24"/>
          <w:lang w:val="es-MX"/>
        </w:rPr>
        <w:t>resultado</w:t>
      </w:r>
      <w:r w:rsidR="0065754C">
        <w:rPr>
          <w:rFonts w:ascii="Futura Lt BT" w:eastAsia="Calibri" w:hAnsi="Futura Lt BT" w:cs="Courier New"/>
          <w:sz w:val="24"/>
          <w:szCs w:val="24"/>
          <w:lang w:val="es-MX"/>
        </w:rPr>
        <w:t xml:space="preserve"> inducido principalmente por</w:t>
      </w:r>
      <w:r w:rsidR="00310176" w:rsidRPr="00F55DDA">
        <w:rPr>
          <w:rFonts w:ascii="Futura Lt BT" w:eastAsia="Calibri" w:hAnsi="Futura Lt BT" w:cs="Courier New"/>
          <w:sz w:val="24"/>
          <w:szCs w:val="24"/>
          <w:lang w:val="es-MX"/>
        </w:rPr>
        <w:t xml:space="preserve"> compras netas de divisas en mesa de cambio (US$</w:t>
      </w:r>
      <w:r w:rsidR="0065754C">
        <w:rPr>
          <w:rFonts w:ascii="Futura Lt BT" w:eastAsia="Calibri" w:hAnsi="Futura Lt BT" w:cs="Courier New"/>
          <w:sz w:val="24"/>
          <w:szCs w:val="24"/>
          <w:lang w:val="es-MX"/>
        </w:rPr>
        <w:t>200.0</w:t>
      </w:r>
      <w:r w:rsidR="00310176" w:rsidRPr="00F55DDA">
        <w:rPr>
          <w:rFonts w:ascii="Futura Lt BT" w:eastAsia="Calibri" w:hAnsi="Futura Lt BT" w:cs="Courier New"/>
          <w:sz w:val="24"/>
          <w:szCs w:val="24"/>
          <w:lang w:val="es-MX"/>
        </w:rPr>
        <w:t xml:space="preserve"> millones), </w:t>
      </w:r>
      <w:r w:rsidR="0065754C" w:rsidRPr="00F55DDA">
        <w:rPr>
          <w:rFonts w:ascii="Futura Lt BT" w:eastAsia="Calibri" w:hAnsi="Futura Lt BT" w:cs="Courier New"/>
          <w:sz w:val="24"/>
          <w:szCs w:val="24"/>
          <w:lang w:val="es-MX"/>
        </w:rPr>
        <w:t>ingreso de préstamos atados a proyectos del SPNF (US$</w:t>
      </w:r>
      <w:r w:rsidR="0065754C">
        <w:rPr>
          <w:rFonts w:ascii="Futura Lt BT" w:eastAsia="Calibri" w:hAnsi="Futura Lt BT" w:cs="Courier New"/>
          <w:sz w:val="24"/>
          <w:szCs w:val="24"/>
          <w:lang w:val="es-MX"/>
        </w:rPr>
        <w:t>106.7</w:t>
      </w:r>
      <w:r w:rsidR="0065754C" w:rsidRPr="00F55DDA">
        <w:rPr>
          <w:rFonts w:ascii="Futura Lt BT" w:eastAsia="Calibri" w:hAnsi="Futura Lt BT" w:cs="Courier New"/>
          <w:sz w:val="24"/>
          <w:szCs w:val="24"/>
          <w:lang w:val="es-MX"/>
        </w:rPr>
        <w:t xml:space="preserve"> millones)</w:t>
      </w:r>
      <w:r w:rsidR="0065754C">
        <w:rPr>
          <w:rFonts w:ascii="Futura Lt BT" w:eastAsia="Calibri" w:hAnsi="Futura Lt BT" w:cs="Courier New"/>
          <w:sz w:val="24"/>
          <w:szCs w:val="24"/>
          <w:lang w:val="es-MX"/>
        </w:rPr>
        <w:t xml:space="preserve">, </w:t>
      </w:r>
      <w:r w:rsidR="00310176" w:rsidRPr="00F55DDA">
        <w:rPr>
          <w:rFonts w:ascii="Futura Lt BT" w:eastAsia="Calibri" w:hAnsi="Futura Lt BT" w:cs="Courier New"/>
          <w:sz w:val="24"/>
          <w:szCs w:val="24"/>
          <w:lang w:val="es-MX"/>
        </w:rPr>
        <w:t>intereses recibidos por inversiones del BCN (US$</w:t>
      </w:r>
      <w:r w:rsidR="0065754C">
        <w:rPr>
          <w:rFonts w:ascii="Futura Lt BT" w:eastAsia="Calibri" w:hAnsi="Futura Lt BT" w:cs="Courier New"/>
          <w:sz w:val="24"/>
          <w:szCs w:val="24"/>
          <w:lang w:val="es-MX"/>
        </w:rPr>
        <w:t>59.8</w:t>
      </w:r>
      <w:r w:rsidR="00310176" w:rsidRPr="00F55DDA">
        <w:rPr>
          <w:rFonts w:ascii="Futura Lt BT" w:eastAsia="Calibri" w:hAnsi="Futura Lt BT" w:cs="Courier New"/>
          <w:sz w:val="24"/>
          <w:szCs w:val="24"/>
          <w:lang w:val="es-MX"/>
        </w:rPr>
        <w:t xml:space="preserve"> millones)</w:t>
      </w:r>
      <w:r w:rsidR="0065754C">
        <w:rPr>
          <w:rFonts w:ascii="Futura Lt BT" w:eastAsia="Calibri" w:hAnsi="Futura Lt BT" w:cs="Courier New"/>
          <w:sz w:val="24"/>
          <w:szCs w:val="24"/>
          <w:lang w:val="es-MX"/>
        </w:rPr>
        <w:t>, colocación neta de depósitos monetarios (US$20.5 millones) y aumento neto de encaje en moneda extranjera (US$12.1 millones)</w:t>
      </w:r>
      <w:r w:rsidR="00310176" w:rsidRPr="00F55DDA">
        <w:rPr>
          <w:rFonts w:ascii="Futura Lt BT" w:eastAsia="Calibri" w:hAnsi="Futura Lt BT" w:cs="Courier New"/>
          <w:sz w:val="24"/>
          <w:szCs w:val="24"/>
          <w:lang w:val="es-MX"/>
        </w:rPr>
        <w:t xml:space="preserve">; lo cual fue atenuado por </w:t>
      </w:r>
      <w:r w:rsidR="0065754C" w:rsidRPr="00F55DDA">
        <w:rPr>
          <w:rFonts w:ascii="Futura Lt BT" w:eastAsia="Calibri" w:hAnsi="Futura Lt BT" w:cs="Courier New"/>
          <w:sz w:val="24"/>
          <w:szCs w:val="24"/>
          <w:lang w:val="es-MX"/>
        </w:rPr>
        <w:t>pagos de deuda externa del SPNF y del BCN (US$</w:t>
      </w:r>
      <w:r w:rsidR="0065754C">
        <w:rPr>
          <w:rFonts w:ascii="Futura Lt BT" w:eastAsia="Calibri" w:hAnsi="Futura Lt BT" w:cs="Courier New"/>
          <w:sz w:val="24"/>
          <w:szCs w:val="24"/>
          <w:lang w:val="es-MX"/>
        </w:rPr>
        <w:t>170.8</w:t>
      </w:r>
      <w:r w:rsidR="0065754C" w:rsidRPr="00F55DDA">
        <w:rPr>
          <w:rFonts w:ascii="Futura Lt BT" w:eastAsia="Calibri" w:hAnsi="Futura Lt BT" w:cs="Courier New"/>
          <w:sz w:val="24"/>
          <w:szCs w:val="24"/>
          <w:lang w:val="es-MX"/>
        </w:rPr>
        <w:t xml:space="preserve"> millones)</w:t>
      </w:r>
      <w:r w:rsidR="00E604FB">
        <w:rPr>
          <w:rFonts w:ascii="Futura Lt BT" w:eastAsia="Calibri" w:hAnsi="Futura Lt BT" w:cs="Courier New"/>
          <w:sz w:val="24"/>
          <w:szCs w:val="24"/>
          <w:lang w:val="es-MX"/>
        </w:rPr>
        <w:t xml:space="preserve"> y</w:t>
      </w:r>
      <w:r w:rsidR="0065754C">
        <w:rPr>
          <w:rFonts w:ascii="Futura Lt BT" w:eastAsia="Calibri" w:hAnsi="Futura Lt BT" w:cs="Courier New"/>
          <w:sz w:val="24"/>
          <w:szCs w:val="24"/>
          <w:lang w:val="es-MX"/>
        </w:rPr>
        <w:t xml:space="preserve"> </w:t>
      </w:r>
      <w:r w:rsidR="00E604FB">
        <w:rPr>
          <w:rFonts w:ascii="Futura Lt BT" w:eastAsia="Calibri" w:hAnsi="Futura Lt BT" w:cs="Courier New"/>
          <w:sz w:val="24"/>
          <w:szCs w:val="24"/>
          <w:lang w:val="es-MX"/>
        </w:rPr>
        <w:t>disminución neta de los depósitos del SPNF en moneda extranjera (US$48.6 millones)</w:t>
      </w:r>
      <w:r w:rsidR="00310176" w:rsidRPr="00F55DDA">
        <w:rPr>
          <w:rFonts w:ascii="Futura Lt BT" w:eastAsia="Calibri" w:hAnsi="Futura Lt BT" w:cs="Courier New"/>
          <w:sz w:val="24"/>
          <w:szCs w:val="24"/>
          <w:lang w:val="es-MX"/>
        </w:rPr>
        <w:t xml:space="preserve">. </w:t>
      </w:r>
      <w:bookmarkEnd w:id="18"/>
      <w:r w:rsidR="00E604FB">
        <w:rPr>
          <w:rFonts w:ascii="Futura Lt BT" w:eastAsia="Calibri" w:hAnsi="Futura Lt BT" w:cs="Courier New"/>
          <w:sz w:val="24"/>
          <w:szCs w:val="24"/>
          <w:lang w:val="es-MX"/>
        </w:rPr>
        <w:t>En términos acumulados</w:t>
      </w:r>
      <w:r w:rsidR="0047512E" w:rsidRPr="00F55DDA">
        <w:rPr>
          <w:rFonts w:ascii="Futura Lt BT" w:eastAsia="Calibri" w:hAnsi="Futura Lt BT" w:cs="Courier New"/>
          <w:sz w:val="24"/>
          <w:szCs w:val="24"/>
          <w:lang w:val="es-MX"/>
        </w:rPr>
        <w:t xml:space="preserve">, </w:t>
      </w:r>
      <w:bookmarkStart w:id="19" w:name="_Hlk162016563"/>
      <w:bookmarkEnd w:id="13"/>
      <w:r w:rsidR="00C96E09" w:rsidRPr="00F55DDA">
        <w:rPr>
          <w:rFonts w:ascii="Futura Lt BT" w:eastAsia="Calibri" w:hAnsi="Futura Lt BT" w:cs="Courier New"/>
          <w:sz w:val="24"/>
          <w:szCs w:val="24"/>
          <w:lang w:val="es-MX"/>
        </w:rPr>
        <w:t xml:space="preserve">los activos de reservas del BCN </w:t>
      </w:r>
      <w:r w:rsidR="00E604FB">
        <w:rPr>
          <w:rFonts w:ascii="Futura Lt BT" w:eastAsia="Calibri" w:hAnsi="Futura Lt BT" w:cs="Courier New"/>
          <w:sz w:val="24"/>
          <w:szCs w:val="24"/>
          <w:lang w:val="es-MX"/>
        </w:rPr>
        <w:t xml:space="preserve">aumentaron en 443.6 millones de dólares en el primer semestre de 2024 </w:t>
      </w:r>
      <w:r w:rsidR="00E604FB" w:rsidRPr="00F55DDA">
        <w:rPr>
          <w:rFonts w:ascii="Futura Lt BT" w:eastAsia="Calibri" w:hAnsi="Futura Lt BT" w:cs="Courier New"/>
          <w:sz w:val="24"/>
          <w:szCs w:val="24"/>
          <w:lang w:val="es-MX"/>
        </w:rPr>
        <w:t>(US</w:t>
      </w:r>
      <w:r w:rsidR="00E604FB">
        <w:rPr>
          <w:rFonts w:ascii="Futura Lt BT" w:eastAsia="Calibri" w:hAnsi="Futura Lt BT" w:cs="Courier New"/>
          <w:sz w:val="24"/>
          <w:szCs w:val="24"/>
          <w:lang w:val="es-MX"/>
        </w:rPr>
        <w:t xml:space="preserve">449.9 </w:t>
      </w:r>
      <w:r w:rsidR="00E604FB" w:rsidRPr="00F55DDA">
        <w:rPr>
          <w:rFonts w:ascii="Futura Lt BT" w:eastAsia="Calibri" w:hAnsi="Futura Lt BT" w:cs="Courier New"/>
          <w:sz w:val="24"/>
          <w:szCs w:val="24"/>
          <w:lang w:val="es-MX"/>
        </w:rPr>
        <w:t>millones en RIB)</w:t>
      </w:r>
      <w:r w:rsidR="00E604FB">
        <w:rPr>
          <w:rFonts w:ascii="Futura Lt BT" w:eastAsia="Calibri" w:hAnsi="Futura Lt BT" w:cs="Courier New"/>
          <w:sz w:val="24"/>
          <w:szCs w:val="24"/>
          <w:lang w:val="es-MX"/>
        </w:rPr>
        <w:t>.</w:t>
      </w:r>
      <w:r w:rsidR="00E604FB" w:rsidRPr="00F55DDA">
        <w:rPr>
          <w:rFonts w:ascii="Futura Lt BT" w:eastAsia="Calibri" w:hAnsi="Futura Lt BT" w:cs="Courier New"/>
          <w:sz w:val="24"/>
          <w:szCs w:val="24"/>
          <w:lang w:val="es-MX"/>
        </w:rPr>
        <w:t xml:space="preserve"> </w:t>
      </w:r>
      <w:r w:rsidR="00E604FB">
        <w:rPr>
          <w:rFonts w:ascii="Futura Lt BT" w:eastAsia="Calibri" w:hAnsi="Futura Lt BT" w:cs="Courier New"/>
          <w:sz w:val="24"/>
          <w:szCs w:val="24"/>
          <w:lang w:val="es-MX"/>
        </w:rPr>
        <w:t>Al finalizar el primer semestre, el</w:t>
      </w:r>
      <w:r w:rsidR="00E604FB" w:rsidRPr="00043DF9">
        <w:rPr>
          <w:rFonts w:ascii="Futura Lt BT" w:eastAsia="Calibri" w:hAnsi="Futura Lt BT" w:cs="Courier New"/>
          <w:sz w:val="24"/>
          <w:szCs w:val="24"/>
          <w:lang w:val="es-MX"/>
        </w:rPr>
        <w:t xml:space="preserve"> saldo de </w:t>
      </w:r>
      <w:r w:rsidR="00E604FB">
        <w:rPr>
          <w:rFonts w:ascii="Futura Lt BT" w:eastAsia="Calibri" w:hAnsi="Futura Lt BT" w:cs="Courier New"/>
          <w:sz w:val="24"/>
          <w:szCs w:val="24"/>
          <w:lang w:val="es-MX"/>
        </w:rPr>
        <w:t xml:space="preserve">RIB del BCN fue de </w:t>
      </w:r>
      <w:r w:rsidR="00E604FB" w:rsidRPr="00043DF9">
        <w:rPr>
          <w:rFonts w:ascii="Futura Lt BT" w:eastAsia="Calibri" w:hAnsi="Futura Lt BT" w:cs="Courier New"/>
          <w:sz w:val="24"/>
          <w:szCs w:val="24"/>
          <w:lang w:val="es-MX"/>
        </w:rPr>
        <w:t xml:space="preserve">5,896.9 </w:t>
      </w:r>
      <w:r w:rsidR="00E604FB" w:rsidRPr="00043DF9">
        <w:rPr>
          <w:rFonts w:ascii="Futura Lt BT" w:eastAsia="Calibri" w:hAnsi="Futura Lt BT" w:cs="Courier New"/>
          <w:sz w:val="24"/>
          <w:szCs w:val="24"/>
          <w:lang w:val="es-MX"/>
        </w:rPr>
        <w:lastRenderedPageBreak/>
        <w:t>millones de dólares</w:t>
      </w:r>
      <w:r w:rsidR="00E604FB">
        <w:rPr>
          <w:rFonts w:ascii="Futura Lt BT" w:eastAsia="Calibri" w:hAnsi="Futura Lt BT" w:cs="Courier New"/>
          <w:sz w:val="24"/>
          <w:szCs w:val="24"/>
          <w:lang w:val="es-MX"/>
        </w:rPr>
        <w:t>, como resu</w:t>
      </w:r>
      <w:r w:rsidR="00E604FB" w:rsidRPr="00043DF9">
        <w:rPr>
          <w:rFonts w:ascii="Futura Lt BT" w:eastAsia="Calibri" w:hAnsi="Futura Lt BT" w:cs="Courier New"/>
          <w:sz w:val="24"/>
          <w:szCs w:val="24"/>
          <w:lang w:val="es-MX"/>
        </w:rPr>
        <w:t xml:space="preserve">ltado de las operaciones monetarias y cambiarias implementadas, con el fin de preservar la estabilidad del Córdoba, el normal desenvolvimiento de los pagos internos y externos, y asegurar los niveles de liquidez </w:t>
      </w:r>
      <w:r w:rsidR="00FD5288" w:rsidRPr="00613D95">
        <w:rPr>
          <w:noProof/>
        </w:rPr>
        <w:drawing>
          <wp:anchor distT="0" distB="0" distL="114300" distR="114300" simplePos="0" relativeHeight="251871232" behindDoc="0" locked="0" layoutInCell="1" allowOverlap="1">
            <wp:simplePos x="0" y="0"/>
            <wp:positionH relativeFrom="margin">
              <wp:posOffset>1433805</wp:posOffset>
            </wp:positionH>
            <wp:positionV relativeFrom="paragraph">
              <wp:posOffset>935025</wp:posOffset>
            </wp:positionV>
            <wp:extent cx="2562225" cy="2400097"/>
            <wp:effectExtent l="0" t="0" r="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2225" cy="2400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4FB" w:rsidRPr="00043DF9">
        <w:rPr>
          <w:rFonts w:ascii="Futura Lt BT" w:eastAsia="Calibri" w:hAnsi="Futura Lt BT" w:cs="Courier New"/>
          <w:sz w:val="24"/>
          <w:szCs w:val="24"/>
          <w:lang w:val="es-MX"/>
        </w:rPr>
        <w:t>necesarios del sistema financiero nacional</w:t>
      </w:r>
      <w:r w:rsidR="0088777F" w:rsidRPr="00F55DDA">
        <w:rPr>
          <w:rFonts w:ascii="Futura Lt BT" w:eastAsia="Calibri" w:hAnsi="Futura Lt BT" w:cs="Courier New"/>
          <w:sz w:val="24"/>
          <w:szCs w:val="24"/>
          <w:lang w:val="es-MX"/>
        </w:rPr>
        <w:t>.</w:t>
      </w:r>
    </w:p>
    <w:bookmarkEnd w:id="19"/>
    <w:p w:rsidR="0047512E" w:rsidRDefault="0047512E" w:rsidP="000200A3">
      <w:pPr>
        <w:pStyle w:val="Textoindependiente"/>
        <w:spacing w:line="276" w:lineRule="auto"/>
      </w:pPr>
    </w:p>
    <w:p w:rsidR="0047512E" w:rsidRDefault="0047512E" w:rsidP="000200A3">
      <w:pPr>
        <w:pStyle w:val="Textoindependiente"/>
        <w:spacing w:line="276" w:lineRule="auto"/>
      </w:pPr>
    </w:p>
    <w:p w:rsidR="0047512E" w:rsidRDefault="0047512E" w:rsidP="000200A3">
      <w:pPr>
        <w:pStyle w:val="Textoindependiente"/>
        <w:spacing w:line="276" w:lineRule="auto"/>
      </w:pPr>
    </w:p>
    <w:p w:rsidR="00DF62C6" w:rsidRDefault="00DF62C6" w:rsidP="00685901">
      <w:pPr>
        <w:pStyle w:val="Textoindependiente"/>
        <w:spacing w:line="276" w:lineRule="auto"/>
      </w:pPr>
      <w:bookmarkStart w:id="20" w:name="_Hlk77683083"/>
      <w:bookmarkStart w:id="21" w:name="_Hlk149306072"/>
    </w:p>
    <w:p w:rsidR="00DF62C6" w:rsidRDefault="00DF62C6" w:rsidP="00685901">
      <w:pPr>
        <w:pStyle w:val="Textoindependiente"/>
        <w:spacing w:line="276" w:lineRule="auto"/>
      </w:pPr>
    </w:p>
    <w:p w:rsidR="00F67FF7" w:rsidRDefault="00F67FF7" w:rsidP="00685901">
      <w:pPr>
        <w:pStyle w:val="Textoindependiente"/>
        <w:spacing w:line="276" w:lineRule="auto"/>
      </w:pPr>
    </w:p>
    <w:p w:rsidR="00F67FF7" w:rsidRDefault="00F67FF7" w:rsidP="00685901">
      <w:pPr>
        <w:pStyle w:val="Textoindependiente"/>
        <w:spacing w:line="276" w:lineRule="auto"/>
      </w:pPr>
    </w:p>
    <w:p w:rsidR="00D23A67" w:rsidRDefault="00D23A67" w:rsidP="00685901">
      <w:pPr>
        <w:pStyle w:val="Textoindependiente"/>
        <w:spacing w:line="276" w:lineRule="auto"/>
      </w:pPr>
    </w:p>
    <w:p w:rsidR="00D23A67" w:rsidRDefault="00D23A67" w:rsidP="00685901">
      <w:pPr>
        <w:pStyle w:val="Textoindependiente"/>
        <w:spacing w:line="276" w:lineRule="auto"/>
      </w:pPr>
    </w:p>
    <w:p w:rsidR="00D23A67" w:rsidRDefault="00D23A67" w:rsidP="00685901">
      <w:pPr>
        <w:pStyle w:val="Textoindependiente"/>
        <w:spacing w:line="276" w:lineRule="auto"/>
      </w:pPr>
    </w:p>
    <w:p w:rsidR="00D23A67" w:rsidRDefault="00D23A67" w:rsidP="00685901">
      <w:pPr>
        <w:pStyle w:val="Textoindependiente"/>
        <w:spacing w:line="276" w:lineRule="auto"/>
      </w:pPr>
    </w:p>
    <w:p w:rsidR="00D23A67" w:rsidRDefault="00D23A67" w:rsidP="00685901">
      <w:pPr>
        <w:pStyle w:val="Textoindependiente"/>
        <w:spacing w:line="276" w:lineRule="auto"/>
      </w:pPr>
    </w:p>
    <w:p w:rsidR="004442C7" w:rsidRDefault="004442C7" w:rsidP="00685901">
      <w:pPr>
        <w:pStyle w:val="Textoindependiente"/>
        <w:spacing w:line="276" w:lineRule="auto"/>
      </w:pPr>
      <w:r w:rsidRPr="002979FC">
        <w:rPr>
          <w:rFonts w:cs="Courier New"/>
        </w:rPr>
        <w:t>Como resultado de lo anterior, la cuenta corriente de la balanza de pagos reflejó un superávit de</w:t>
      </w:r>
      <w:r>
        <w:rPr>
          <w:rFonts w:cs="Courier New"/>
        </w:rPr>
        <w:t xml:space="preserve"> 397</w:t>
      </w:r>
      <w:r w:rsidRPr="002979FC">
        <w:rPr>
          <w:rFonts w:cs="Courier New"/>
        </w:rPr>
        <w:t>.</w:t>
      </w:r>
      <w:r>
        <w:rPr>
          <w:rFonts w:cs="Courier New"/>
        </w:rPr>
        <w:t>5</w:t>
      </w:r>
      <w:r w:rsidRPr="002979FC">
        <w:rPr>
          <w:rFonts w:cs="Courier New"/>
        </w:rPr>
        <w:t xml:space="preserve"> millones de dólares</w:t>
      </w:r>
      <w:r w:rsidRPr="00F05BF8">
        <w:rPr>
          <w:rFonts w:cs="Courier New"/>
        </w:rPr>
        <w:t xml:space="preserve"> </w:t>
      </w:r>
      <w:r>
        <w:rPr>
          <w:rFonts w:cs="Courier New"/>
        </w:rPr>
        <w:t>en el trimestre</w:t>
      </w:r>
      <w:r w:rsidRPr="002979FC">
        <w:rPr>
          <w:rFonts w:cs="Courier New"/>
        </w:rPr>
        <w:t xml:space="preserve">, </w:t>
      </w:r>
      <w:r>
        <w:rPr>
          <w:rFonts w:cs="Courier New"/>
        </w:rPr>
        <w:t>el cual fue mayor en 25.7 millones que el registrado en el segundo trimestre de 2023 (US$371.8 millones)</w:t>
      </w:r>
      <w:r w:rsidRPr="002979FC">
        <w:rPr>
          <w:rFonts w:cs="Courier New"/>
        </w:rPr>
        <w:t>.</w:t>
      </w:r>
      <w:r>
        <w:rPr>
          <w:rFonts w:cs="Courier New"/>
        </w:rPr>
        <w:t xml:space="preserve"> </w:t>
      </w:r>
      <w:r w:rsidRPr="002979FC">
        <w:rPr>
          <w:rFonts w:cs="Courier New"/>
        </w:rPr>
        <w:t xml:space="preserve">En términos acumulados, la cuenta corriente fue superavitaria en </w:t>
      </w:r>
      <w:r>
        <w:rPr>
          <w:rFonts w:cs="Courier New"/>
        </w:rPr>
        <w:t>553.6</w:t>
      </w:r>
      <w:r w:rsidRPr="002979FC">
        <w:rPr>
          <w:rFonts w:cs="Courier New"/>
        </w:rPr>
        <w:t xml:space="preserve"> millones de dólares </w:t>
      </w:r>
      <w:r>
        <w:rPr>
          <w:rFonts w:cs="Courier New"/>
        </w:rPr>
        <w:t>en el primer</w:t>
      </w:r>
      <w:r w:rsidRPr="002979FC">
        <w:rPr>
          <w:rFonts w:cs="Courier New"/>
        </w:rPr>
        <w:t xml:space="preserve"> </w:t>
      </w:r>
      <w:r>
        <w:rPr>
          <w:rFonts w:cs="Courier New"/>
        </w:rPr>
        <w:t>semestre</w:t>
      </w:r>
      <w:r w:rsidRPr="002979FC">
        <w:rPr>
          <w:rFonts w:cs="Courier New"/>
        </w:rPr>
        <w:t xml:space="preserve"> </w:t>
      </w:r>
      <w:r>
        <w:rPr>
          <w:rFonts w:cs="Courier New"/>
        </w:rPr>
        <w:t xml:space="preserve">de 2024 </w:t>
      </w:r>
      <w:r w:rsidRPr="002979FC">
        <w:rPr>
          <w:rFonts w:cs="Courier New"/>
        </w:rPr>
        <w:t>(</w:t>
      </w:r>
      <w:r>
        <w:rPr>
          <w:rFonts w:cs="Courier New"/>
        </w:rPr>
        <w:t>US$835</w:t>
      </w:r>
      <w:r w:rsidRPr="002979FC">
        <w:rPr>
          <w:rFonts w:cs="Courier New"/>
        </w:rPr>
        <w:t>.</w:t>
      </w:r>
      <w:r>
        <w:rPr>
          <w:rFonts w:cs="Courier New"/>
        </w:rPr>
        <w:t>7</w:t>
      </w:r>
      <w:r w:rsidRPr="002979FC">
        <w:rPr>
          <w:rFonts w:cs="Courier New"/>
        </w:rPr>
        <w:t xml:space="preserve"> millones de dólares </w:t>
      </w:r>
      <w:r>
        <w:rPr>
          <w:rFonts w:cs="Courier New"/>
        </w:rPr>
        <w:t xml:space="preserve">en igual período </w:t>
      </w:r>
      <w:r w:rsidRPr="002979FC">
        <w:rPr>
          <w:rFonts w:cs="Courier New"/>
        </w:rPr>
        <w:t>de</w:t>
      </w:r>
      <w:r>
        <w:rPr>
          <w:rFonts w:cs="Courier New"/>
        </w:rPr>
        <w:t xml:space="preserve"> 2023), lo que representó 5.9 por ciento</w:t>
      </w:r>
      <w:r w:rsidRPr="002979FC">
        <w:rPr>
          <w:rFonts w:cs="Courier New"/>
        </w:rPr>
        <w:t xml:space="preserve"> del PIB.</w:t>
      </w:r>
      <w:r>
        <w:rPr>
          <w:rFonts w:cs="Courier New"/>
        </w:rPr>
        <w:t xml:space="preserve"> Este resultado, se explica por el balance </w:t>
      </w:r>
      <w:r w:rsidRPr="002979FC">
        <w:rPr>
          <w:rFonts w:cs="Courier New"/>
        </w:rPr>
        <w:t>positivo de la cuenta del ingreso secundario</w:t>
      </w:r>
      <w:r>
        <w:rPr>
          <w:rFonts w:cs="Courier New"/>
        </w:rPr>
        <w:t>,</w:t>
      </w:r>
      <w:r w:rsidRPr="00317203">
        <w:rPr>
          <w:rFonts w:cs="Courier New"/>
        </w:rPr>
        <w:t xml:space="preserve"> que superó el déficit de la balanza comercial de bienes y servicios y el balance negativo de la cuenta del ingreso primario</w:t>
      </w:r>
      <w:r>
        <w:rPr>
          <w:rFonts w:cs="Courier New"/>
        </w:rPr>
        <w:t>.</w:t>
      </w:r>
    </w:p>
    <w:p w:rsidR="004442C7" w:rsidRDefault="004442C7" w:rsidP="00685901">
      <w:pPr>
        <w:pStyle w:val="Textoindependiente"/>
        <w:spacing w:line="276" w:lineRule="auto"/>
      </w:pPr>
    </w:p>
    <w:bookmarkEnd w:id="20"/>
    <w:bookmarkEnd w:id="21"/>
    <w:p w:rsidR="004442C7" w:rsidRDefault="004442C7">
      <w:pPr>
        <w:rPr>
          <w:rFonts w:ascii="Futura Md BT" w:eastAsia="MS Mincho" w:hAnsi="Futura Md BT" w:cs="Arial"/>
          <w:b/>
          <w:bCs/>
          <w:color w:val="004B85"/>
          <w:kern w:val="32"/>
          <w:sz w:val="28"/>
          <w:szCs w:val="28"/>
          <w:lang w:val="es-ES" w:eastAsia="es-ES"/>
        </w:rPr>
      </w:pPr>
      <w:r>
        <w:br w:type="page"/>
      </w:r>
    </w:p>
    <w:p w:rsidR="00E36BC3" w:rsidRDefault="004D56FA" w:rsidP="00D3743F">
      <w:pPr>
        <w:pStyle w:val="Estilo2"/>
        <w:ind w:left="862"/>
      </w:pPr>
      <w:r w:rsidRPr="004D56FA">
        <w:lastRenderedPageBreak/>
        <w:t xml:space="preserve"> </w:t>
      </w:r>
      <w:r w:rsidR="0070746B">
        <w:t>A</w:t>
      </w:r>
      <w:r w:rsidR="003440D3">
        <w:t>nexo</w:t>
      </w:r>
      <w:r w:rsidR="00D56766">
        <w:t xml:space="preserve"> estadístico</w:t>
      </w:r>
    </w:p>
    <w:p w:rsidR="00D861D3" w:rsidRDefault="00275C1D" w:rsidP="008A7668">
      <w:pPr>
        <w:pStyle w:val="Estilo2"/>
        <w:ind w:left="862"/>
        <w:jc w:val="left"/>
      </w:pPr>
      <w:r w:rsidRPr="00275C1D">
        <w:rPr>
          <w:noProof/>
        </w:rPr>
        <w:drawing>
          <wp:anchor distT="0" distB="0" distL="114300" distR="114300" simplePos="0" relativeHeight="251875328" behindDoc="0" locked="0" layoutInCell="1" allowOverlap="1">
            <wp:simplePos x="0" y="0"/>
            <wp:positionH relativeFrom="margin">
              <wp:posOffset>-635</wp:posOffset>
            </wp:positionH>
            <wp:positionV relativeFrom="paragraph">
              <wp:posOffset>17119</wp:posOffset>
            </wp:positionV>
            <wp:extent cx="5612130" cy="8449945"/>
            <wp:effectExtent l="0" t="0" r="762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8449945"/>
                    </a:xfrm>
                    <a:prstGeom prst="rect">
                      <a:avLst/>
                    </a:prstGeom>
                    <a:noFill/>
                    <a:ln>
                      <a:noFill/>
                    </a:ln>
                  </pic:spPr>
                </pic:pic>
              </a:graphicData>
            </a:graphic>
          </wp:anchor>
        </w:drawing>
      </w:r>
    </w:p>
    <w:sectPr w:rsidR="00D861D3">
      <w:headerReference w:type="default" r:id="rId1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3B50" w16cex:dateUtc="2023-05-04T20:10:00Z"/>
  <w16cex:commentExtensible w16cex:durableId="27FE3C86" w16cex:dateUtc="2023-05-04T20:15:00Z"/>
  <w16cex:commentExtensible w16cex:durableId="27FE3E25" w16cex:dateUtc="2023-05-04T20:22:00Z"/>
  <w16cex:commentExtensible w16cex:durableId="27FE3EAC" w16cex:dateUtc="2023-05-04T20: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52D" w:rsidRDefault="00EF652D" w:rsidP="00915142">
      <w:pPr>
        <w:spacing w:after="0" w:line="240" w:lineRule="auto"/>
      </w:pPr>
      <w:r>
        <w:separator/>
      </w:r>
    </w:p>
  </w:endnote>
  <w:endnote w:type="continuationSeparator" w:id="0">
    <w:p w:rsidR="00EF652D" w:rsidRDefault="00EF652D" w:rsidP="0091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Futura Md BT">
    <w:altName w:val="Century Gothic"/>
    <w:panose1 w:val="020B06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panose1 w:val="020B0402020204020303"/>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52D" w:rsidRDefault="00EF652D" w:rsidP="00915142">
      <w:pPr>
        <w:spacing w:after="0" w:line="240" w:lineRule="auto"/>
      </w:pPr>
      <w:r>
        <w:separator/>
      </w:r>
    </w:p>
  </w:footnote>
  <w:footnote w:type="continuationSeparator" w:id="0">
    <w:p w:rsidR="00EF652D" w:rsidRDefault="00EF652D" w:rsidP="00915142">
      <w:pPr>
        <w:spacing w:after="0" w:line="240" w:lineRule="auto"/>
      </w:pPr>
      <w:r>
        <w:continuationSeparator/>
      </w:r>
    </w:p>
  </w:footnote>
  <w:footnote w:id="1">
    <w:p w:rsidR="007F352D" w:rsidRPr="007F352D" w:rsidRDefault="007F352D">
      <w:pPr>
        <w:pStyle w:val="Textonotapie"/>
        <w:rPr>
          <w:lang w:val="es-MX"/>
        </w:rPr>
      </w:pPr>
      <w:r>
        <w:rPr>
          <w:rStyle w:val="Refdenotaalpie"/>
        </w:rPr>
        <w:footnoteRef/>
      </w:r>
      <w:r>
        <w:t xml:space="preserve"> </w:t>
      </w:r>
      <w:r w:rsidRPr="00DF079A">
        <w:rPr>
          <w:rFonts w:ascii="Futura Lt BT" w:hAnsi="Futura Lt BT" w:cs="Segoe UI"/>
          <w:color w:val="51545D"/>
          <w:sz w:val="18"/>
          <w:szCs w:val="18"/>
          <w:shd w:val="clear" w:color="auto" w:fill="FFFFFF"/>
        </w:rPr>
        <w:t>La Balanza de Pagos resume las transacciones económicas entre residentes y no residentes durante un período determinado. Las cuentas que conforman la BP se organizan de cuerdo a la naturaleza de los recursos económicos suministrados y recibidos. La cuenta corriente muestra las transacciones de bienes, servicios, ingreso primario (renta) e ingreso secundario (</w:t>
      </w:r>
      <w:hyperlink r:id="rId1" w:tgtFrame="_blank" w:history="1">
        <w:r w:rsidRPr="00DF079A">
          <w:rPr>
            <w:rFonts w:ascii="Futura Lt BT" w:hAnsi="Futura Lt BT" w:cs="Segoe UI"/>
            <w:color w:val="51545D"/>
            <w:sz w:val="18"/>
            <w:szCs w:val="18"/>
            <w:shd w:val="clear" w:color="auto" w:fill="FFFFFF"/>
          </w:rPr>
          <w:t>transferencias corrientes</w:t>
        </w:r>
      </w:hyperlink>
      <w:r w:rsidRPr="00DF079A">
        <w:rPr>
          <w:rFonts w:ascii="Futura Lt BT" w:hAnsi="Futura Lt BT" w:cs="Segoe UI"/>
          <w:color w:val="51545D"/>
          <w:sz w:val="18"/>
          <w:szCs w:val="18"/>
          <w:shd w:val="clear" w:color="auto" w:fill="FFFFFF"/>
        </w:rPr>
        <w:t>).</w:t>
      </w:r>
    </w:p>
  </w:footnote>
  <w:footnote w:id="2">
    <w:p w:rsidR="00D86268" w:rsidRPr="008C0859" w:rsidRDefault="00D86268" w:rsidP="00D86268">
      <w:pPr>
        <w:pStyle w:val="Textonotapie"/>
        <w:jc w:val="both"/>
        <w:rPr>
          <w:lang w:val="es-MX"/>
        </w:rPr>
      </w:pPr>
      <w:r>
        <w:rPr>
          <w:rStyle w:val="Refdenotaalpie"/>
        </w:rPr>
        <w:footnoteRef/>
      </w:r>
      <w:r>
        <w:t xml:space="preserve"> </w:t>
      </w:r>
      <w:r>
        <w:rPr>
          <w:rFonts w:ascii="Futura Lt BT" w:hAnsi="Futura Lt BT" w:cs="Segoe UI"/>
          <w:color w:val="51545D"/>
          <w:sz w:val="18"/>
          <w:szCs w:val="18"/>
          <w:shd w:val="clear" w:color="auto" w:fill="FFFFFF"/>
        </w:rPr>
        <w:t xml:space="preserve">Conforme el VI Manual de </w:t>
      </w:r>
      <w:r w:rsidRPr="00DF079A">
        <w:rPr>
          <w:rFonts w:ascii="Futura Lt BT" w:hAnsi="Futura Lt BT" w:cs="Segoe UI"/>
          <w:color w:val="51545D"/>
          <w:sz w:val="18"/>
          <w:szCs w:val="18"/>
          <w:shd w:val="clear" w:color="auto" w:fill="FFFFFF"/>
        </w:rPr>
        <w:t>Balanza de Pagos</w:t>
      </w:r>
      <w:r>
        <w:rPr>
          <w:rFonts w:ascii="Futura Lt BT" w:hAnsi="Futura Lt BT" w:cs="Segoe UI"/>
          <w:color w:val="51545D"/>
          <w:sz w:val="18"/>
          <w:szCs w:val="18"/>
          <w:shd w:val="clear" w:color="auto" w:fill="FFFFFF"/>
        </w:rPr>
        <w:t>, las importaciones de bienes excluyen las importaciones brutas de insumos para la maquila bajo el régimen de zona franca, las cuales se registran de manera neta en la cuenta de servicio de manufactura para la transformación de bienes.</w:t>
      </w:r>
    </w:p>
  </w:footnote>
  <w:footnote w:id="3">
    <w:p w:rsidR="002C10A6" w:rsidRPr="002C10A6" w:rsidRDefault="002C10A6">
      <w:pPr>
        <w:pStyle w:val="Textonotapie"/>
        <w:rPr>
          <w:lang w:val="es-MX"/>
        </w:rPr>
      </w:pPr>
      <w:r>
        <w:rPr>
          <w:rStyle w:val="Refdenotaalpie"/>
        </w:rPr>
        <w:footnoteRef/>
      </w:r>
      <w:r>
        <w:t xml:space="preserve"> </w:t>
      </w:r>
      <w:r>
        <w:rPr>
          <w:rFonts w:ascii="Futura Lt BT" w:hAnsi="Futura Lt BT" w:cs="Segoe UI"/>
          <w:color w:val="51545D"/>
          <w:shd w:val="clear" w:color="auto" w:fill="FFFFFF"/>
        </w:rPr>
        <w:t>L</w:t>
      </w:r>
      <w:r w:rsidRPr="00A85CB3">
        <w:rPr>
          <w:rFonts w:ascii="Futura Lt BT" w:hAnsi="Futura Lt BT" w:cs="Segoe UI"/>
          <w:color w:val="51545D"/>
          <w:shd w:val="clear" w:color="auto" w:fill="FFFFFF"/>
        </w:rPr>
        <w:t>a </w:t>
      </w:r>
      <w:hyperlink r:id="rId2" w:history="1">
        <w:r w:rsidRPr="00A85CB3">
          <w:rPr>
            <w:rFonts w:ascii="Futura Lt BT" w:hAnsi="Futura Lt BT" w:cs="Segoe UI"/>
            <w:color w:val="51545D"/>
            <w:shd w:val="clear" w:color="auto" w:fill="FFFFFF"/>
          </w:rPr>
          <w:t>cuenta de capital</w:t>
        </w:r>
      </w:hyperlink>
      <w:r w:rsidRPr="00A85CB3">
        <w:rPr>
          <w:rFonts w:ascii="Futura Lt BT" w:hAnsi="Futura Lt BT" w:cs="Segoe UI"/>
          <w:color w:val="51545D"/>
          <w:shd w:val="clear" w:color="auto" w:fill="FFFFFF"/>
        </w:rPr>
        <w:t xml:space="preserve"> refleja las operaciones asociadas </w:t>
      </w:r>
      <w:r>
        <w:rPr>
          <w:rFonts w:ascii="Futura Lt BT" w:hAnsi="Futura Lt BT" w:cs="Segoe UI"/>
          <w:color w:val="51545D"/>
          <w:shd w:val="clear" w:color="auto" w:fill="FFFFFF"/>
        </w:rPr>
        <w:t xml:space="preserve">con </w:t>
      </w:r>
      <w:r w:rsidRPr="00A85CB3">
        <w:rPr>
          <w:rFonts w:ascii="Futura Lt BT" w:hAnsi="Futura Lt BT" w:cs="Segoe UI"/>
          <w:color w:val="51545D"/>
          <w:shd w:val="clear" w:color="auto" w:fill="FFFFFF"/>
        </w:rPr>
        <w:t>activos no financieros no producidos y las transferencias de capital entre residentes y no residentes. Por su parte, la cuenta financiera muestra la adquisición y disposición netas de activos y pasivos financieros por tipo de inversión: </w:t>
      </w:r>
      <w:hyperlink r:id="rId3" w:history="1">
        <w:r w:rsidRPr="00A85CB3">
          <w:rPr>
            <w:rFonts w:ascii="Futura Lt BT" w:hAnsi="Futura Lt BT" w:cs="Segoe UI"/>
            <w:color w:val="51545D"/>
            <w:shd w:val="clear" w:color="auto" w:fill="FFFFFF"/>
          </w:rPr>
          <w:t>inversión extranjera directa</w:t>
        </w:r>
      </w:hyperlink>
      <w:hyperlink r:id="rId4" w:tgtFrame="_blank" w:history="1">
        <w:r w:rsidRPr="00A85CB3">
          <w:rPr>
            <w:rFonts w:ascii="Futura Lt BT" w:hAnsi="Futura Lt BT" w:cs="Segoe UI"/>
            <w:color w:val="51545D"/>
            <w:shd w:val="clear" w:color="auto" w:fill="FFFFFF"/>
          </w:rPr>
          <w:t>;</w:t>
        </w:r>
      </w:hyperlink>
      <w:r w:rsidRPr="00A85CB3">
        <w:rPr>
          <w:rFonts w:ascii="Futura Lt BT" w:hAnsi="Futura Lt BT" w:cs="Segoe UI"/>
          <w:color w:val="51545D"/>
          <w:shd w:val="clear" w:color="auto" w:fill="FFFFFF"/>
        </w:rPr>
        <w:t> inversión de cartera; instrumentos financieros derivados; otra inversión y </w:t>
      </w:r>
      <w:hyperlink r:id="rId5" w:tgtFrame="_blank" w:history="1">
        <w:r w:rsidRPr="00A85CB3">
          <w:rPr>
            <w:rFonts w:ascii="Futura Lt BT" w:hAnsi="Futura Lt BT" w:cs="Segoe UI"/>
            <w:color w:val="51545D"/>
            <w:shd w:val="clear" w:color="auto" w:fill="FFFFFF"/>
          </w:rPr>
          <w:t>activos de reserva</w:t>
        </w:r>
      </w:hyperlink>
      <w:r>
        <w:rPr>
          <w:rFonts w:ascii="Futura Lt BT" w:hAnsi="Futura Lt BT" w:cs="Segoe UI"/>
          <w:color w:val="51545D"/>
          <w:shd w:val="clear" w:color="auto" w:fill="FFFFFF"/>
        </w:rPr>
        <w:t>.</w:t>
      </w:r>
    </w:p>
  </w:footnote>
  <w:footnote w:id="4">
    <w:p w:rsidR="00310176" w:rsidRPr="008C0859" w:rsidRDefault="00310176" w:rsidP="00310176">
      <w:pPr>
        <w:pStyle w:val="Textonotapie"/>
        <w:jc w:val="both"/>
        <w:rPr>
          <w:lang w:val="es-MX"/>
        </w:rPr>
      </w:pPr>
      <w:r>
        <w:rPr>
          <w:rStyle w:val="Refdenotaalpie"/>
        </w:rPr>
        <w:footnoteRef/>
      </w:r>
      <w:r>
        <w:rPr>
          <w:rFonts w:ascii="Futura Lt BT" w:hAnsi="Futura Lt BT" w:cs="Segoe UI"/>
          <w:color w:val="51545D"/>
          <w:sz w:val="18"/>
          <w:szCs w:val="18"/>
          <w:shd w:val="clear" w:color="auto" w:fill="FFFFFF"/>
        </w:rPr>
        <w:t xml:space="preserve"> Los Activos de Reservas del BCN registrados en la Balanza de Pagos no incluyen los saldos del FOGADE y variaciones cambiarias. Las RIB incluyen activos del FOGADE y otras variaciones.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B3A" w:rsidRPr="00EE444E" w:rsidRDefault="00EE444E" w:rsidP="00EE444E">
    <w:pPr>
      <w:pStyle w:val="Encabezado"/>
      <w:jc w:val="right"/>
      <w:rPr>
        <w:rFonts w:ascii="Futura Lt BT" w:hAnsi="Futura Lt BT"/>
      </w:rPr>
    </w:pPr>
    <w:r w:rsidRPr="00EE444E">
      <w:rPr>
        <w:rFonts w:ascii="Futura Lt BT" w:hAnsi="Futura Lt BT"/>
        <w:noProof/>
      </w:rPr>
      <mc:AlternateContent>
        <mc:Choice Requires="wps">
          <w:drawing>
            <wp:anchor distT="0" distB="0" distL="118745" distR="118745" simplePos="0" relativeHeight="251661312" behindDoc="1" locked="0" layoutInCell="1" allowOverlap="0" wp14:anchorId="3AC4B34A" wp14:editId="271EED8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44E" w:rsidRPr="00EE444E" w:rsidRDefault="00EE444E" w:rsidP="00EE444E">
                          <w:pPr>
                            <w:pStyle w:val="Encabezado"/>
                            <w:jc w:val="right"/>
                            <w:rPr>
                              <w:rFonts w:ascii="Futura Lt BT" w:hAnsi="Futura Lt BT"/>
                              <w:caps/>
                              <w:color w:val="FFFFFF" w:themeColor="background1"/>
                              <w:sz w:val="20"/>
                              <w:szCs w:val="20"/>
                            </w:rPr>
                          </w:pPr>
                          <w:r w:rsidRPr="00EE444E">
                            <w:rPr>
                              <w:rFonts w:ascii="Futura Lt BT" w:hAnsi="Futura Lt BT"/>
                              <w:caps/>
                              <w:color w:val="FFFFFF" w:themeColor="background1"/>
                              <w:sz w:val="20"/>
                              <w:szCs w:val="20"/>
                            </w:rPr>
                            <w:t xml:space="preserve">Informe de </w:t>
                          </w:r>
                          <w:r w:rsidR="007F352D">
                            <w:rPr>
                              <w:rFonts w:ascii="Futura Lt BT" w:hAnsi="Futura Lt BT"/>
                              <w:caps/>
                              <w:color w:val="FFFFFF" w:themeColor="background1"/>
                              <w:sz w:val="20"/>
                              <w:szCs w:val="20"/>
                            </w:rPr>
                            <w:t>balanza de pagos</w:t>
                          </w:r>
                          <w:r w:rsidRPr="00EE444E">
                            <w:rPr>
                              <w:rFonts w:ascii="Futura Lt BT" w:hAnsi="Futura Lt BT"/>
                              <w:caps/>
                              <w:color w:val="FFFFFF" w:themeColor="background1"/>
                              <w:sz w:val="20"/>
                              <w:szCs w:val="20"/>
                            </w:rPr>
                            <w:t xml:space="preserve">, </w:t>
                          </w:r>
                          <w:r w:rsidR="001426FD">
                            <w:rPr>
                              <w:rFonts w:ascii="Futura Lt BT" w:hAnsi="Futura Lt BT"/>
                              <w:caps/>
                              <w:color w:val="FFFFFF" w:themeColor="background1"/>
                              <w:sz w:val="20"/>
                              <w:szCs w:val="20"/>
                            </w:rPr>
                            <w:t>I</w:t>
                          </w:r>
                          <w:r w:rsidRPr="00EE444E">
                            <w:rPr>
                              <w:rFonts w:ascii="Futura Lt BT" w:hAnsi="Futura Lt BT"/>
                              <w:caps/>
                              <w:color w:val="FFFFFF" w:themeColor="background1"/>
                              <w:sz w:val="20"/>
                              <w:szCs w:val="20"/>
                            </w:rPr>
                            <w:t>i trimestre 202</w:t>
                          </w:r>
                          <w:r w:rsidR="008151D5">
                            <w:rPr>
                              <w:rFonts w:ascii="Futura Lt BT" w:hAnsi="Futura Lt BT"/>
                              <w:caps/>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C4B34A" id="Rectángulo 3" o:spid="_x0000_s1028"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" o:allowoverlap="f" fillcolor="#4472c4 [3204]" stroked="f" strokeweight="1pt">
              <v:textbox style="mso-fit-shape-to-text:t">
                <w:txbxContent>
                  <w:p w:rsidR="00EE444E" w:rsidRPr="00EE444E" w:rsidRDefault="00EE444E" w:rsidP="00EE444E">
                    <w:pPr>
                      <w:pStyle w:val="Encabezado"/>
                      <w:jc w:val="right"/>
                      <w:rPr>
                        <w:rFonts w:ascii="Futura Lt BT" w:hAnsi="Futura Lt BT"/>
                        <w:caps/>
                        <w:color w:val="FFFFFF" w:themeColor="background1"/>
                        <w:sz w:val="20"/>
                        <w:szCs w:val="20"/>
                      </w:rPr>
                    </w:pPr>
                    <w:r w:rsidRPr="00EE444E">
                      <w:rPr>
                        <w:rFonts w:ascii="Futura Lt BT" w:hAnsi="Futura Lt BT"/>
                        <w:caps/>
                        <w:color w:val="FFFFFF" w:themeColor="background1"/>
                        <w:sz w:val="20"/>
                        <w:szCs w:val="20"/>
                      </w:rPr>
                      <w:t xml:space="preserve">Informe de </w:t>
                    </w:r>
                    <w:r w:rsidR="007F352D">
                      <w:rPr>
                        <w:rFonts w:ascii="Futura Lt BT" w:hAnsi="Futura Lt BT"/>
                        <w:caps/>
                        <w:color w:val="FFFFFF" w:themeColor="background1"/>
                        <w:sz w:val="20"/>
                        <w:szCs w:val="20"/>
                      </w:rPr>
                      <w:t>balanza de pagos</w:t>
                    </w:r>
                    <w:r w:rsidRPr="00EE444E">
                      <w:rPr>
                        <w:rFonts w:ascii="Futura Lt BT" w:hAnsi="Futura Lt BT"/>
                        <w:caps/>
                        <w:color w:val="FFFFFF" w:themeColor="background1"/>
                        <w:sz w:val="20"/>
                        <w:szCs w:val="20"/>
                      </w:rPr>
                      <w:t xml:space="preserve">, </w:t>
                    </w:r>
                    <w:r w:rsidR="001426FD">
                      <w:rPr>
                        <w:rFonts w:ascii="Futura Lt BT" w:hAnsi="Futura Lt BT"/>
                        <w:caps/>
                        <w:color w:val="FFFFFF" w:themeColor="background1"/>
                        <w:sz w:val="20"/>
                        <w:szCs w:val="20"/>
                      </w:rPr>
                      <w:t>I</w:t>
                    </w:r>
                    <w:r w:rsidRPr="00EE444E">
                      <w:rPr>
                        <w:rFonts w:ascii="Futura Lt BT" w:hAnsi="Futura Lt BT"/>
                        <w:caps/>
                        <w:color w:val="FFFFFF" w:themeColor="background1"/>
                        <w:sz w:val="20"/>
                        <w:szCs w:val="20"/>
                      </w:rPr>
                      <w:t>i trimestre 202</w:t>
                    </w:r>
                    <w:r w:rsidR="008151D5">
                      <w:rPr>
                        <w:rFonts w:ascii="Futura Lt BT" w:hAnsi="Futura Lt BT"/>
                        <w:caps/>
                        <w:color w:val="FFFFFF" w:themeColor="background1"/>
                        <w:sz w:val="20"/>
                        <w:szCs w:val="20"/>
                      </w:rPr>
                      <w:t>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7A57"/>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195E6590"/>
    <w:multiLevelType w:val="multilevel"/>
    <w:tmpl w:val="02A0F2F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BC918EC"/>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1DBE2640"/>
    <w:multiLevelType w:val="multilevel"/>
    <w:tmpl w:val="8C425C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6750CE"/>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3B600320"/>
    <w:multiLevelType w:val="multilevel"/>
    <w:tmpl w:val="215E5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8A0AB4"/>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20"/>
    <w:rsid w:val="00000223"/>
    <w:rsid w:val="00007036"/>
    <w:rsid w:val="0000795D"/>
    <w:rsid w:val="00012A6C"/>
    <w:rsid w:val="00013847"/>
    <w:rsid w:val="000157CF"/>
    <w:rsid w:val="00015A06"/>
    <w:rsid w:val="000200A3"/>
    <w:rsid w:val="00020163"/>
    <w:rsid w:val="00022E6E"/>
    <w:rsid w:val="00026A75"/>
    <w:rsid w:val="00027B32"/>
    <w:rsid w:val="0003181B"/>
    <w:rsid w:val="000320C6"/>
    <w:rsid w:val="00035E06"/>
    <w:rsid w:val="00041CD4"/>
    <w:rsid w:val="00043DF9"/>
    <w:rsid w:val="00047BB0"/>
    <w:rsid w:val="000506E1"/>
    <w:rsid w:val="000523DC"/>
    <w:rsid w:val="00054320"/>
    <w:rsid w:val="00055031"/>
    <w:rsid w:val="000602DB"/>
    <w:rsid w:val="00061A51"/>
    <w:rsid w:val="00062084"/>
    <w:rsid w:val="00062136"/>
    <w:rsid w:val="000633F5"/>
    <w:rsid w:val="000636F0"/>
    <w:rsid w:val="00065A75"/>
    <w:rsid w:val="00065A82"/>
    <w:rsid w:val="00070549"/>
    <w:rsid w:val="00072140"/>
    <w:rsid w:val="00072697"/>
    <w:rsid w:val="00073235"/>
    <w:rsid w:val="000736E6"/>
    <w:rsid w:val="00076082"/>
    <w:rsid w:val="00077E14"/>
    <w:rsid w:val="000834B6"/>
    <w:rsid w:val="00087272"/>
    <w:rsid w:val="000922D3"/>
    <w:rsid w:val="000A0619"/>
    <w:rsid w:val="000A0961"/>
    <w:rsid w:val="000A1119"/>
    <w:rsid w:val="000A2793"/>
    <w:rsid w:val="000A2F64"/>
    <w:rsid w:val="000A2F90"/>
    <w:rsid w:val="000A6BED"/>
    <w:rsid w:val="000A6F1D"/>
    <w:rsid w:val="000A7519"/>
    <w:rsid w:val="000B42C2"/>
    <w:rsid w:val="000B6199"/>
    <w:rsid w:val="000B7642"/>
    <w:rsid w:val="000C1FA8"/>
    <w:rsid w:val="000C5235"/>
    <w:rsid w:val="000C7E2E"/>
    <w:rsid w:val="000D4C44"/>
    <w:rsid w:val="000D56B3"/>
    <w:rsid w:val="000D68C4"/>
    <w:rsid w:val="000D7C71"/>
    <w:rsid w:val="000E055D"/>
    <w:rsid w:val="000E0D9A"/>
    <w:rsid w:val="000E0F6C"/>
    <w:rsid w:val="000E15C3"/>
    <w:rsid w:val="000E1986"/>
    <w:rsid w:val="000E32C9"/>
    <w:rsid w:val="000E3371"/>
    <w:rsid w:val="000E5ABF"/>
    <w:rsid w:val="000E5C98"/>
    <w:rsid w:val="000F2C5D"/>
    <w:rsid w:val="000F2FA9"/>
    <w:rsid w:val="000F414F"/>
    <w:rsid w:val="000F65E8"/>
    <w:rsid w:val="000F6867"/>
    <w:rsid w:val="00100ED9"/>
    <w:rsid w:val="00101559"/>
    <w:rsid w:val="00103118"/>
    <w:rsid w:val="00103960"/>
    <w:rsid w:val="00103C2D"/>
    <w:rsid w:val="001048FA"/>
    <w:rsid w:val="00104BB8"/>
    <w:rsid w:val="001061F5"/>
    <w:rsid w:val="00107074"/>
    <w:rsid w:val="00107CC6"/>
    <w:rsid w:val="00120BAF"/>
    <w:rsid w:val="00120D6A"/>
    <w:rsid w:val="001210AB"/>
    <w:rsid w:val="00121DF0"/>
    <w:rsid w:val="0012284C"/>
    <w:rsid w:val="00125AF2"/>
    <w:rsid w:val="00125D1B"/>
    <w:rsid w:val="00126AC7"/>
    <w:rsid w:val="001312EC"/>
    <w:rsid w:val="0013133D"/>
    <w:rsid w:val="0013134E"/>
    <w:rsid w:val="00135D75"/>
    <w:rsid w:val="001411A4"/>
    <w:rsid w:val="00141736"/>
    <w:rsid w:val="001426FD"/>
    <w:rsid w:val="00144784"/>
    <w:rsid w:val="00146823"/>
    <w:rsid w:val="001474EE"/>
    <w:rsid w:val="00152CB7"/>
    <w:rsid w:val="0015351D"/>
    <w:rsid w:val="0015374F"/>
    <w:rsid w:val="00153893"/>
    <w:rsid w:val="001577EC"/>
    <w:rsid w:val="001618C8"/>
    <w:rsid w:val="00162EBB"/>
    <w:rsid w:val="001659C6"/>
    <w:rsid w:val="001672DA"/>
    <w:rsid w:val="00170EEB"/>
    <w:rsid w:val="00173495"/>
    <w:rsid w:val="00176049"/>
    <w:rsid w:val="00176108"/>
    <w:rsid w:val="00177001"/>
    <w:rsid w:val="00180B32"/>
    <w:rsid w:val="00183360"/>
    <w:rsid w:val="001845FE"/>
    <w:rsid w:val="00187FF6"/>
    <w:rsid w:val="0019193E"/>
    <w:rsid w:val="00192F52"/>
    <w:rsid w:val="001A2984"/>
    <w:rsid w:val="001A381E"/>
    <w:rsid w:val="001A5401"/>
    <w:rsid w:val="001A5AA7"/>
    <w:rsid w:val="001A5EC9"/>
    <w:rsid w:val="001B0E8E"/>
    <w:rsid w:val="001B199D"/>
    <w:rsid w:val="001B3CD8"/>
    <w:rsid w:val="001B43E0"/>
    <w:rsid w:val="001B5922"/>
    <w:rsid w:val="001B6455"/>
    <w:rsid w:val="001C0200"/>
    <w:rsid w:val="001C0C0E"/>
    <w:rsid w:val="001C15BE"/>
    <w:rsid w:val="001C2DC0"/>
    <w:rsid w:val="001C3985"/>
    <w:rsid w:val="001C3CFD"/>
    <w:rsid w:val="001D1F20"/>
    <w:rsid w:val="001D22DA"/>
    <w:rsid w:val="001D4217"/>
    <w:rsid w:val="001E3FE4"/>
    <w:rsid w:val="001E48E6"/>
    <w:rsid w:val="001F2CE3"/>
    <w:rsid w:val="001F3A6C"/>
    <w:rsid w:val="001F61E1"/>
    <w:rsid w:val="001F692E"/>
    <w:rsid w:val="00200120"/>
    <w:rsid w:val="0020044D"/>
    <w:rsid w:val="00200838"/>
    <w:rsid w:val="00202520"/>
    <w:rsid w:val="00206E38"/>
    <w:rsid w:val="00212E07"/>
    <w:rsid w:val="002240B8"/>
    <w:rsid w:val="002257A8"/>
    <w:rsid w:val="002335EB"/>
    <w:rsid w:val="0024442F"/>
    <w:rsid w:val="00245061"/>
    <w:rsid w:val="00245A57"/>
    <w:rsid w:val="00246BAB"/>
    <w:rsid w:val="00247266"/>
    <w:rsid w:val="00256653"/>
    <w:rsid w:val="002573F9"/>
    <w:rsid w:val="0026270F"/>
    <w:rsid w:val="002645B7"/>
    <w:rsid w:val="0026701A"/>
    <w:rsid w:val="00267414"/>
    <w:rsid w:val="002718F7"/>
    <w:rsid w:val="00275C1D"/>
    <w:rsid w:val="0027676E"/>
    <w:rsid w:val="00283FE5"/>
    <w:rsid w:val="00285608"/>
    <w:rsid w:val="00287454"/>
    <w:rsid w:val="002924B2"/>
    <w:rsid w:val="002960C4"/>
    <w:rsid w:val="002967CD"/>
    <w:rsid w:val="00297983"/>
    <w:rsid w:val="002979FC"/>
    <w:rsid w:val="002A4044"/>
    <w:rsid w:val="002A4E67"/>
    <w:rsid w:val="002A6747"/>
    <w:rsid w:val="002B2604"/>
    <w:rsid w:val="002B2E98"/>
    <w:rsid w:val="002B3F29"/>
    <w:rsid w:val="002B457F"/>
    <w:rsid w:val="002B50C2"/>
    <w:rsid w:val="002B65ED"/>
    <w:rsid w:val="002B770E"/>
    <w:rsid w:val="002B77D4"/>
    <w:rsid w:val="002C0399"/>
    <w:rsid w:val="002C10A6"/>
    <w:rsid w:val="002C29D5"/>
    <w:rsid w:val="002C2BB1"/>
    <w:rsid w:val="002C344B"/>
    <w:rsid w:val="002C3DBC"/>
    <w:rsid w:val="002C537A"/>
    <w:rsid w:val="002C6677"/>
    <w:rsid w:val="002C695D"/>
    <w:rsid w:val="002C7630"/>
    <w:rsid w:val="002D0AE5"/>
    <w:rsid w:val="002D0B5C"/>
    <w:rsid w:val="002D10F8"/>
    <w:rsid w:val="002D1267"/>
    <w:rsid w:val="002D1A9A"/>
    <w:rsid w:val="002D6429"/>
    <w:rsid w:val="002D68E1"/>
    <w:rsid w:val="002D6DCD"/>
    <w:rsid w:val="002D6EBA"/>
    <w:rsid w:val="002D7106"/>
    <w:rsid w:val="002E1D03"/>
    <w:rsid w:val="002E2F75"/>
    <w:rsid w:val="002E5BF6"/>
    <w:rsid w:val="002F3111"/>
    <w:rsid w:val="002F5F44"/>
    <w:rsid w:val="0030012D"/>
    <w:rsid w:val="00301D67"/>
    <w:rsid w:val="00307774"/>
    <w:rsid w:val="00310176"/>
    <w:rsid w:val="003106FF"/>
    <w:rsid w:val="00310C46"/>
    <w:rsid w:val="003132F3"/>
    <w:rsid w:val="00314726"/>
    <w:rsid w:val="00315321"/>
    <w:rsid w:val="00317203"/>
    <w:rsid w:val="00320767"/>
    <w:rsid w:val="00321EBF"/>
    <w:rsid w:val="00324FD2"/>
    <w:rsid w:val="0032743A"/>
    <w:rsid w:val="00331348"/>
    <w:rsid w:val="00333ACB"/>
    <w:rsid w:val="003348DE"/>
    <w:rsid w:val="00341354"/>
    <w:rsid w:val="003440D3"/>
    <w:rsid w:val="00345470"/>
    <w:rsid w:val="003469EC"/>
    <w:rsid w:val="0035079B"/>
    <w:rsid w:val="00351D97"/>
    <w:rsid w:val="0035228C"/>
    <w:rsid w:val="00352949"/>
    <w:rsid w:val="00352E94"/>
    <w:rsid w:val="00354674"/>
    <w:rsid w:val="003551E7"/>
    <w:rsid w:val="00357E82"/>
    <w:rsid w:val="0036070D"/>
    <w:rsid w:val="00360951"/>
    <w:rsid w:val="00360A1B"/>
    <w:rsid w:val="00361A45"/>
    <w:rsid w:val="00362F66"/>
    <w:rsid w:val="00363CD0"/>
    <w:rsid w:val="003641D4"/>
    <w:rsid w:val="003664A0"/>
    <w:rsid w:val="00374415"/>
    <w:rsid w:val="00375B90"/>
    <w:rsid w:val="0037791A"/>
    <w:rsid w:val="00381682"/>
    <w:rsid w:val="00383046"/>
    <w:rsid w:val="00390A61"/>
    <w:rsid w:val="00394D3C"/>
    <w:rsid w:val="00395240"/>
    <w:rsid w:val="003A0D3B"/>
    <w:rsid w:val="003A2951"/>
    <w:rsid w:val="003A5F26"/>
    <w:rsid w:val="003A6912"/>
    <w:rsid w:val="003A7C99"/>
    <w:rsid w:val="003B1347"/>
    <w:rsid w:val="003B3A75"/>
    <w:rsid w:val="003B3D51"/>
    <w:rsid w:val="003C44C4"/>
    <w:rsid w:val="003D45CC"/>
    <w:rsid w:val="003D4B24"/>
    <w:rsid w:val="003D4CDE"/>
    <w:rsid w:val="003D551F"/>
    <w:rsid w:val="003D7DEF"/>
    <w:rsid w:val="003E031E"/>
    <w:rsid w:val="003E228C"/>
    <w:rsid w:val="003E33E1"/>
    <w:rsid w:val="003E5C4D"/>
    <w:rsid w:val="003E7022"/>
    <w:rsid w:val="003F398E"/>
    <w:rsid w:val="003F3ABA"/>
    <w:rsid w:val="003F4EDD"/>
    <w:rsid w:val="003F723B"/>
    <w:rsid w:val="003F75B2"/>
    <w:rsid w:val="003F7BB6"/>
    <w:rsid w:val="00401415"/>
    <w:rsid w:val="00401891"/>
    <w:rsid w:val="00401A71"/>
    <w:rsid w:val="00402FE1"/>
    <w:rsid w:val="00403216"/>
    <w:rsid w:val="004032BA"/>
    <w:rsid w:val="00413D3A"/>
    <w:rsid w:val="00415B4A"/>
    <w:rsid w:val="004165D3"/>
    <w:rsid w:val="0042513B"/>
    <w:rsid w:val="00425224"/>
    <w:rsid w:val="00426C71"/>
    <w:rsid w:val="0042789E"/>
    <w:rsid w:val="004279F0"/>
    <w:rsid w:val="00434BDE"/>
    <w:rsid w:val="00435398"/>
    <w:rsid w:val="00437DD8"/>
    <w:rsid w:val="00443A9A"/>
    <w:rsid w:val="004442C7"/>
    <w:rsid w:val="00444DDA"/>
    <w:rsid w:val="004456CE"/>
    <w:rsid w:val="004463D7"/>
    <w:rsid w:val="004527C7"/>
    <w:rsid w:val="00455267"/>
    <w:rsid w:val="00456063"/>
    <w:rsid w:val="00460D4E"/>
    <w:rsid w:val="00461208"/>
    <w:rsid w:val="00466492"/>
    <w:rsid w:val="004673D2"/>
    <w:rsid w:val="004717F2"/>
    <w:rsid w:val="00472B24"/>
    <w:rsid w:val="00473332"/>
    <w:rsid w:val="0047512E"/>
    <w:rsid w:val="00475617"/>
    <w:rsid w:val="00476553"/>
    <w:rsid w:val="004768A7"/>
    <w:rsid w:val="004773C7"/>
    <w:rsid w:val="004809E3"/>
    <w:rsid w:val="0048173F"/>
    <w:rsid w:val="00481A85"/>
    <w:rsid w:val="00483AB4"/>
    <w:rsid w:val="00486442"/>
    <w:rsid w:val="004906D0"/>
    <w:rsid w:val="004908B3"/>
    <w:rsid w:val="0049225B"/>
    <w:rsid w:val="004A07C0"/>
    <w:rsid w:val="004A14C0"/>
    <w:rsid w:val="004A3E9C"/>
    <w:rsid w:val="004A416B"/>
    <w:rsid w:val="004A73BD"/>
    <w:rsid w:val="004A7F9D"/>
    <w:rsid w:val="004B03A7"/>
    <w:rsid w:val="004B0A51"/>
    <w:rsid w:val="004B26D4"/>
    <w:rsid w:val="004B3161"/>
    <w:rsid w:val="004B48C4"/>
    <w:rsid w:val="004B4DC1"/>
    <w:rsid w:val="004B5F8B"/>
    <w:rsid w:val="004C005D"/>
    <w:rsid w:val="004C0918"/>
    <w:rsid w:val="004C14F3"/>
    <w:rsid w:val="004C50D7"/>
    <w:rsid w:val="004C6ECE"/>
    <w:rsid w:val="004D1DD1"/>
    <w:rsid w:val="004D324E"/>
    <w:rsid w:val="004D564C"/>
    <w:rsid w:val="004D56FA"/>
    <w:rsid w:val="004D67A8"/>
    <w:rsid w:val="004E0FE9"/>
    <w:rsid w:val="004E2627"/>
    <w:rsid w:val="004E2633"/>
    <w:rsid w:val="004E4571"/>
    <w:rsid w:val="004E5F61"/>
    <w:rsid w:val="004F04CD"/>
    <w:rsid w:val="004F1A6A"/>
    <w:rsid w:val="004F38BA"/>
    <w:rsid w:val="004F43B7"/>
    <w:rsid w:val="004F4854"/>
    <w:rsid w:val="004F4964"/>
    <w:rsid w:val="004F4DCC"/>
    <w:rsid w:val="004F4E2C"/>
    <w:rsid w:val="004F5532"/>
    <w:rsid w:val="004F688E"/>
    <w:rsid w:val="004F7758"/>
    <w:rsid w:val="00500454"/>
    <w:rsid w:val="00500D0E"/>
    <w:rsid w:val="00501C52"/>
    <w:rsid w:val="00504773"/>
    <w:rsid w:val="00506D13"/>
    <w:rsid w:val="005103A4"/>
    <w:rsid w:val="00510555"/>
    <w:rsid w:val="00513FAF"/>
    <w:rsid w:val="0052208F"/>
    <w:rsid w:val="00526784"/>
    <w:rsid w:val="005317B5"/>
    <w:rsid w:val="00532145"/>
    <w:rsid w:val="00533429"/>
    <w:rsid w:val="00533AEA"/>
    <w:rsid w:val="00535F91"/>
    <w:rsid w:val="0053781A"/>
    <w:rsid w:val="00542EC3"/>
    <w:rsid w:val="00544357"/>
    <w:rsid w:val="00545BE9"/>
    <w:rsid w:val="0054695A"/>
    <w:rsid w:val="00552848"/>
    <w:rsid w:val="005548FF"/>
    <w:rsid w:val="00557AB4"/>
    <w:rsid w:val="0056509C"/>
    <w:rsid w:val="00565EA4"/>
    <w:rsid w:val="00565EE6"/>
    <w:rsid w:val="00565F19"/>
    <w:rsid w:val="00570DC9"/>
    <w:rsid w:val="00574CBA"/>
    <w:rsid w:val="0057516A"/>
    <w:rsid w:val="00577308"/>
    <w:rsid w:val="005801C2"/>
    <w:rsid w:val="00583D72"/>
    <w:rsid w:val="005858F3"/>
    <w:rsid w:val="005869D0"/>
    <w:rsid w:val="00593BFF"/>
    <w:rsid w:val="0059423B"/>
    <w:rsid w:val="00596756"/>
    <w:rsid w:val="005A47F8"/>
    <w:rsid w:val="005A5427"/>
    <w:rsid w:val="005A7DD4"/>
    <w:rsid w:val="005B074A"/>
    <w:rsid w:val="005B2094"/>
    <w:rsid w:val="005B391A"/>
    <w:rsid w:val="005B573C"/>
    <w:rsid w:val="005B7947"/>
    <w:rsid w:val="005C0EE2"/>
    <w:rsid w:val="005C147E"/>
    <w:rsid w:val="005C2B12"/>
    <w:rsid w:val="005C3D4B"/>
    <w:rsid w:val="005C4CEA"/>
    <w:rsid w:val="005C6EA5"/>
    <w:rsid w:val="005C7787"/>
    <w:rsid w:val="005D0504"/>
    <w:rsid w:val="005D101A"/>
    <w:rsid w:val="005D24A4"/>
    <w:rsid w:val="005D2AB0"/>
    <w:rsid w:val="005D413A"/>
    <w:rsid w:val="005D53D2"/>
    <w:rsid w:val="005D5E53"/>
    <w:rsid w:val="005E0DBA"/>
    <w:rsid w:val="005E0FAE"/>
    <w:rsid w:val="005E1F5F"/>
    <w:rsid w:val="005E5ED7"/>
    <w:rsid w:val="005F08C1"/>
    <w:rsid w:val="005F0EA0"/>
    <w:rsid w:val="005F2749"/>
    <w:rsid w:val="005F5BF8"/>
    <w:rsid w:val="005F6E58"/>
    <w:rsid w:val="00602952"/>
    <w:rsid w:val="00602F27"/>
    <w:rsid w:val="006036B0"/>
    <w:rsid w:val="006042D7"/>
    <w:rsid w:val="00606F34"/>
    <w:rsid w:val="00607BA1"/>
    <w:rsid w:val="006130C1"/>
    <w:rsid w:val="00613D95"/>
    <w:rsid w:val="006176FE"/>
    <w:rsid w:val="0062097F"/>
    <w:rsid w:val="00621F64"/>
    <w:rsid w:val="006225B3"/>
    <w:rsid w:val="00625C67"/>
    <w:rsid w:val="00626E1E"/>
    <w:rsid w:val="00627D6F"/>
    <w:rsid w:val="00634006"/>
    <w:rsid w:val="00634AF0"/>
    <w:rsid w:val="006351FA"/>
    <w:rsid w:val="00635ABB"/>
    <w:rsid w:val="00636E78"/>
    <w:rsid w:val="00637061"/>
    <w:rsid w:val="00647F1D"/>
    <w:rsid w:val="00650A29"/>
    <w:rsid w:val="006519F9"/>
    <w:rsid w:val="0065487C"/>
    <w:rsid w:val="0065528D"/>
    <w:rsid w:val="00655B5C"/>
    <w:rsid w:val="0065754C"/>
    <w:rsid w:val="0066151D"/>
    <w:rsid w:val="00661DE8"/>
    <w:rsid w:val="006656BE"/>
    <w:rsid w:val="0066572D"/>
    <w:rsid w:val="0066728B"/>
    <w:rsid w:val="006724CB"/>
    <w:rsid w:val="0067277B"/>
    <w:rsid w:val="00674F19"/>
    <w:rsid w:val="00675403"/>
    <w:rsid w:val="00680B96"/>
    <w:rsid w:val="0068201F"/>
    <w:rsid w:val="00683639"/>
    <w:rsid w:val="006840CF"/>
    <w:rsid w:val="0068491D"/>
    <w:rsid w:val="00685901"/>
    <w:rsid w:val="00690889"/>
    <w:rsid w:val="00691219"/>
    <w:rsid w:val="006938A2"/>
    <w:rsid w:val="006944FB"/>
    <w:rsid w:val="00694DFB"/>
    <w:rsid w:val="006A17B4"/>
    <w:rsid w:val="006A3BFF"/>
    <w:rsid w:val="006A3FEF"/>
    <w:rsid w:val="006A5524"/>
    <w:rsid w:val="006A59C9"/>
    <w:rsid w:val="006B129A"/>
    <w:rsid w:val="006B1D26"/>
    <w:rsid w:val="006B2AC5"/>
    <w:rsid w:val="006B3710"/>
    <w:rsid w:val="006C14B7"/>
    <w:rsid w:val="006C1B73"/>
    <w:rsid w:val="006C2A6C"/>
    <w:rsid w:val="006C37A1"/>
    <w:rsid w:val="006C3960"/>
    <w:rsid w:val="006C7A85"/>
    <w:rsid w:val="006D31A3"/>
    <w:rsid w:val="006D45BD"/>
    <w:rsid w:val="006D7AD1"/>
    <w:rsid w:val="006E3F0E"/>
    <w:rsid w:val="006E50AF"/>
    <w:rsid w:val="006E60B3"/>
    <w:rsid w:val="006E732B"/>
    <w:rsid w:val="006F1816"/>
    <w:rsid w:val="006F25A1"/>
    <w:rsid w:val="006F3C89"/>
    <w:rsid w:val="006F7296"/>
    <w:rsid w:val="006F7C18"/>
    <w:rsid w:val="00700CE8"/>
    <w:rsid w:val="00704DCF"/>
    <w:rsid w:val="0070746B"/>
    <w:rsid w:val="007078D3"/>
    <w:rsid w:val="0071254A"/>
    <w:rsid w:val="007158FC"/>
    <w:rsid w:val="00720602"/>
    <w:rsid w:val="007305BB"/>
    <w:rsid w:val="00731053"/>
    <w:rsid w:val="007319B0"/>
    <w:rsid w:val="007326C8"/>
    <w:rsid w:val="007335BD"/>
    <w:rsid w:val="00735063"/>
    <w:rsid w:val="00737E32"/>
    <w:rsid w:val="00743028"/>
    <w:rsid w:val="00751A83"/>
    <w:rsid w:val="0075213D"/>
    <w:rsid w:val="00756D0C"/>
    <w:rsid w:val="0076236F"/>
    <w:rsid w:val="00762D02"/>
    <w:rsid w:val="00765C2A"/>
    <w:rsid w:val="007707A2"/>
    <w:rsid w:val="00771086"/>
    <w:rsid w:val="00773EAF"/>
    <w:rsid w:val="00773FAF"/>
    <w:rsid w:val="00775817"/>
    <w:rsid w:val="007815A0"/>
    <w:rsid w:val="00784485"/>
    <w:rsid w:val="00785F74"/>
    <w:rsid w:val="00786A08"/>
    <w:rsid w:val="007939D2"/>
    <w:rsid w:val="007941AC"/>
    <w:rsid w:val="007943C4"/>
    <w:rsid w:val="00797201"/>
    <w:rsid w:val="00797598"/>
    <w:rsid w:val="007A1B33"/>
    <w:rsid w:val="007A3F15"/>
    <w:rsid w:val="007A7D33"/>
    <w:rsid w:val="007B0B97"/>
    <w:rsid w:val="007B2556"/>
    <w:rsid w:val="007B38F5"/>
    <w:rsid w:val="007B3B06"/>
    <w:rsid w:val="007B3FB4"/>
    <w:rsid w:val="007B4238"/>
    <w:rsid w:val="007B529B"/>
    <w:rsid w:val="007B587C"/>
    <w:rsid w:val="007B5E31"/>
    <w:rsid w:val="007B69DA"/>
    <w:rsid w:val="007C0C6B"/>
    <w:rsid w:val="007C261F"/>
    <w:rsid w:val="007C266C"/>
    <w:rsid w:val="007C317A"/>
    <w:rsid w:val="007D01C9"/>
    <w:rsid w:val="007D1884"/>
    <w:rsid w:val="007D5436"/>
    <w:rsid w:val="007D5E4E"/>
    <w:rsid w:val="007D6691"/>
    <w:rsid w:val="007D6CE1"/>
    <w:rsid w:val="007E0B00"/>
    <w:rsid w:val="007E0DFA"/>
    <w:rsid w:val="007E1D0B"/>
    <w:rsid w:val="007E5CFA"/>
    <w:rsid w:val="007F0670"/>
    <w:rsid w:val="007F169E"/>
    <w:rsid w:val="007F1D4D"/>
    <w:rsid w:val="007F352D"/>
    <w:rsid w:val="007F4941"/>
    <w:rsid w:val="007F520C"/>
    <w:rsid w:val="007F5EC2"/>
    <w:rsid w:val="007F6387"/>
    <w:rsid w:val="007F6DDD"/>
    <w:rsid w:val="00801A43"/>
    <w:rsid w:val="008025E1"/>
    <w:rsid w:val="00802ECF"/>
    <w:rsid w:val="00803463"/>
    <w:rsid w:val="0080350E"/>
    <w:rsid w:val="008076DB"/>
    <w:rsid w:val="008134F6"/>
    <w:rsid w:val="00813FC5"/>
    <w:rsid w:val="008151D5"/>
    <w:rsid w:val="00822006"/>
    <w:rsid w:val="0082592C"/>
    <w:rsid w:val="00830EE4"/>
    <w:rsid w:val="0083106D"/>
    <w:rsid w:val="00831BA1"/>
    <w:rsid w:val="0083268C"/>
    <w:rsid w:val="00834829"/>
    <w:rsid w:val="008437F3"/>
    <w:rsid w:val="00844732"/>
    <w:rsid w:val="0084787A"/>
    <w:rsid w:val="00852833"/>
    <w:rsid w:val="008545B2"/>
    <w:rsid w:val="00854A0E"/>
    <w:rsid w:val="0085711E"/>
    <w:rsid w:val="008577A1"/>
    <w:rsid w:val="00857D5C"/>
    <w:rsid w:val="00861854"/>
    <w:rsid w:val="00861F68"/>
    <w:rsid w:val="00863430"/>
    <w:rsid w:val="00864F61"/>
    <w:rsid w:val="00866833"/>
    <w:rsid w:val="00870624"/>
    <w:rsid w:val="00872038"/>
    <w:rsid w:val="00873452"/>
    <w:rsid w:val="008744A1"/>
    <w:rsid w:val="00875317"/>
    <w:rsid w:val="008757F9"/>
    <w:rsid w:val="00876708"/>
    <w:rsid w:val="00876859"/>
    <w:rsid w:val="00877211"/>
    <w:rsid w:val="00881E41"/>
    <w:rsid w:val="00884488"/>
    <w:rsid w:val="00886C11"/>
    <w:rsid w:val="0088777F"/>
    <w:rsid w:val="00890607"/>
    <w:rsid w:val="00891BD9"/>
    <w:rsid w:val="008930AC"/>
    <w:rsid w:val="00893692"/>
    <w:rsid w:val="00895612"/>
    <w:rsid w:val="00895751"/>
    <w:rsid w:val="00896686"/>
    <w:rsid w:val="0089726E"/>
    <w:rsid w:val="008A0F1B"/>
    <w:rsid w:val="008A176D"/>
    <w:rsid w:val="008A43F0"/>
    <w:rsid w:val="008A7304"/>
    <w:rsid w:val="008A74AE"/>
    <w:rsid w:val="008A7668"/>
    <w:rsid w:val="008B27B7"/>
    <w:rsid w:val="008B5C3C"/>
    <w:rsid w:val="008B6367"/>
    <w:rsid w:val="008B6817"/>
    <w:rsid w:val="008B6DD6"/>
    <w:rsid w:val="008C2BE1"/>
    <w:rsid w:val="008C77FA"/>
    <w:rsid w:val="008D2AD7"/>
    <w:rsid w:val="008D441C"/>
    <w:rsid w:val="008D67EE"/>
    <w:rsid w:val="008D7171"/>
    <w:rsid w:val="008D7316"/>
    <w:rsid w:val="008E2A7B"/>
    <w:rsid w:val="008E467E"/>
    <w:rsid w:val="008E5315"/>
    <w:rsid w:val="008E632A"/>
    <w:rsid w:val="008F02A9"/>
    <w:rsid w:val="008F2052"/>
    <w:rsid w:val="008F2F63"/>
    <w:rsid w:val="008F7416"/>
    <w:rsid w:val="00900EA5"/>
    <w:rsid w:val="00902CD6"/>
    <w:rsid w:val="00906339"/>
    <w:rsid w:val="00907759"/>
    <w:rsid w:val="00907B41"/>
    <w:rsid w:val="00907D6A"/>
    <w:rsid w:val="00910857"/>
    <w:rsid w:val="00910D76"/>
    <w:rsid w:val="00911667"/>
    <w:rsid w:val="00913250"/>
    <w:rsid w:val="00914EEB"/>
    <w:rsid w:val="00915142"/>
    <w:rsid w:val="00915317"/>
    <w:rsid w:val="00915F52"/>
    <w:rsid w:val="0091689E"/>
    <w:rsid w:val="00916D97"/>
    <w:rsid w:val="009205EB"/>
    <w:rsid w:val="009209A4"/>
    <w:rsid w:val="009214D1"/>
    <w:rsid w:val="00922D8D"/>
    <w:rsid w:val="009233A0"/>
    <w:rsid w:val="009238B8"/>
    <w:rsid w:val="00924837"/>
    <w:rsid w:val="0092754F"/>
    <w:rsid w:val="009302EE"/>
    <w:rsid w:val="00933A4F"/>
    <w:rsid w:val="00933AC3"/>
    <w:rsid w:val="00935681"/>
    <w:rsid w:val="00935851"/>
    <w:rsid w:val="00941212"/>
    <w:rsid w:val="00946131"/>
    <w:rsid w:val="009476F3"/>
    <w:rsid w:val="0095052E"/>
    <w:rsid w:val="00955E27"/>
    <w:rsid w:val="00960246"/>
    <w:rsid w:val="009646CD"/>
    <w:rsid w:val="00967D19"/>
    <w:rsid w:val="00971715"/>
    <w:rsid w:val="00972052"/>
    <w:rsid w:val="00972AB7"/>
    <w:rsid w:val="00973109"/>
    <w:rsid w:val="00981A5A"/>
    <w:rsid w:val="00982820"/>
    <w:rsid w:val="0098563C"/>
    <w:rsid w:val="0098697C"/>
    <w:rsid w:val="00986E56"/>
    <w:rsid w:val="009875D1"/>
    <w:rsid w:val="00991D4D"/>
    <w:rsid w:val="00992EB5"/>
    <w:rsid w:val="00996939"/>
    <w:rsid w:val="00997316"/>
    <w:rsid w:val="00997E16"/>
    <w:rsid w:val="009B0018"/>
    <w:rsid w:val="009B0A39"/>
    <w:rsid w:val="009B1CA2"/>
    <w:rsid w:val="009B2F50"/>
    <w:rsid w:val="009B31F5"/>
    <w:rsid w:val="009B6666"/>
    <w:rsid w:val="009B7A62"/>
    <w:rsid w:val="009C03D3"/>
    <w:rsid w:val="009C534F"/>
    <w:rsid w:val="009D076A"/>
    <w:rsid w:val="009D1834"/>
    <w:rsid w:val="009D2A7C"/>
    <w:rsid w:val="009D2FED"/>
    <w:rsid w:val="009D44E4"/>
    <w:rsid w:val="009D5861"/>
    <w:rsid w:val="009D67E9"/>
    <w:rsid w:val="009E1813"/>
    <w:rsid w:val="009E2E4B"/>
    <w:rsid w:val="009E2E64"/>
    <w:rsid w:val="009E4DEB"/>
    <w:rsid w:val="009E6A73"/>
    <w:rsid w:val="009E7CCD"/>
    <w:rsid w:val="009F44C8"/>
    <w:rsid w:val="009F7669"/>
    <w:rsid w:val="009F7749"/>
    <w:rsid w:val="00A033EC"/>
    <w:rsid w:val="00A03667"/>
    <w:rsid w:val="00A05BB5"/>
    <w:rsid w:val="00A10567"/>
    <w:rsid w:val="00A11D3D"/>
    <w:rsid w:val="00A13666"/>
    <w:rsid w:val="00A14A1F"/>
    <w:rsid w:val="00A15CC5"/>
    <w:rsid w:val="00A21618"/>
    <w:rsid w:val="00A21AA6"/>
    <w:rsid w:val="00A2717E"/>
    <w:rsid w:val="00A30EEF"/>
    <w:rsid w:val="00A320C9"/>
    <w:rsid w:val="00A32630"/>
    <w:rsid w:val="00A329E0"/>
    <w:rsid w:val="00A34759"/>
    <w:rsid w:val="00A3481D"/>
    <w:rsid w:val="00A35F3B"/>
    <w:rsid w:val="00A3759B"/>
    <w:rsid w:val="00A414EF"/>
    <w:rsid w:val="00A42F59"/>
    <w:rsid w:val="00A451C3"/>
    <w:rsid w:val="00A46505"/>
    <w:rsid w:val="00A47A1A"/>
    <w:rsid w:val="00A51412"/>
    <w:rsid w:val="00A5255F"/>
    <w:rsid w:val="00A53245"/>
    <w:rsid w:val="00A64590"/>
    <w:rsid w:val="00A6495B"/>
    <w:rsid w:val="00A702DF"/>
    <w:rsid w:val="00A713AB"/>
    <w:rsid w:val="00A72120"/>
    <w:rsid w:val="00A75CB4"/>
    <w:rsid w:val="00A77910"/>
    <w:rsid w:val="00A77DE3"/>
    <w:rsid w:val="00A8106F"/>
    <w:rsid w:val="00A824FD"/>
    <w:rsid w:val="00A8346C"/>
    <w:rsid w:val="00A83D71"/>
    <w:rsid w:val="00A84E06"/>
    <w:rsid w:val="00A8527E"/>
    <w:rsid w:val="00A859E1"/>
    <w:rsid w:val="00A85A61"/>
    <w:rsid w:val="00A86622"/>
    <w:rsid w:val="00A87116"/>
    <w:rsid w:val="00A875D0"/>
    <w:rsid w:val="00A9472E"/>
    <w:rsid w:val="00A96C7D"/>
    <w:rsid w:val="00A97F1E"/>
    <w:rsid w:val="00AA0913"/>
    <w:rsid w:val="00AA166C"/>
    <w:rsid w:val="00AA2620"/>
    <w:rsid w:val="00AA554E"/>
    <w:rsid w:val="00AA59C5"/>
    <w:rsid w:val="00AA6B74"/>
    <w:rsid w:val="00AB0A0C"/>
    <w:rsid w:val="00AB33D7"/>
    <w:rsid w:val="00AB4336"/>
    <w:rsid w:val="00AC342B"/>
    <w:rsid w:val="00AD00EB"/>
    <w:rsid w:val="00AD02A8"/>
    <w:rsid w:val="00AD6D6B"/>
    <w:rsid w:val="00AE1BC2"/>
    <w:rsid w:val="00AE25A3"/>
    <w:rsid w:val="00AE569F"/>
    <w:rsid w:val="00AE5D1E"/>
    <w:rsid w:val="00AE6AC4"/>
    <w:rsid w:val="00AF23E6"/>
    <w:rsid w:val="00AF5D85"/>
    <w:rsid w:val="00B042E7"/>
    <w:rsid w:val="00B062D4"/>
    <w:rsid w:val="00B07559"/>
    <w:rsid w:val="00B130E0"/>
    <w:rsid w:val="00B1315C"/>
    <w:rsid w:val="00B16892"/>
    <w:rsid w:val="00B17336"/>
    <w:rsid w:val="00B212AF"/>
    <w:rsid w:val="00B2298C"/>
    <w:rsid w:val="00B22B20"/>
    <w:rsid w:val="00B23264"/>
    <w:rsid w:val="00B30C4F"/>
    <w:rsid w:val="00B30EEC"/>
    <w:rsid w:val="00B3112A"/>
    <w:rsid w:val="00B32777"/>
    <w:rsid w:val="00B33B57"/>
    <w:rsid w:val="00B36B0F"/>
    <w:rsid w:val="00B45E3D"/>
    <w:rsid w:val="00B465E0"/>
    <w:rsid w:val="00B5007C"/>
    <w:rsid w:val="00B5102B"/>
    <w:rsid w:val="00B53813"/>
    <w:rsid w:val="00B56270"/>
    <w:rsid w:val="00B567C7"/>
    <w:rsid w:val="00B56FCA"/>
    <w:rsid w:val="00B570B5"/>
    <w:rsid w:val="00B57C0B"/>
    <w:rsid w:val="00B61126"/>
    <w:rsid w:val="00B61625"/>
    <w:rsid w:val="00B63311"/>
    <w:rsid w:val="00B63D95"/>
    <w:rsid w:val="00B6416D"/>
    <w:rsid w:val="00B71C5E"/>
    <w:rsid w:val="00B722CC"/>
    <w:rsid w:val="00B72688"/>
    <w:rsid w:val="00B74F3C"/>
    <w:rsid w:val="00B77563"/>
    <w:rsid w:val="00B84F56"/>
    <w:rsid w:val="00B852F9"/>
    <w:rsid w:val="00B867B3"/>
    <w:rsid w:val="00B87340"/>
    <w:rsid w:val="00B91DD5"/>
    <w:rsid w:val="00B954B5"/>
    <w:rsid w:val="00BA01E6"/>
    <w:rsid w:val="00BA0516"/>
    <w:rsid w:val="00BA1A8C"/>
    <w:rsid w:val="00BA4EE9"/>
    <w:rsid w:val="00BA6147"/>
    <w:rsid w:val="00BB0AD3"/>
    <w:rsid w:val="00BB1C22"/>
    <w:rsid w:val="00BB3C4E"/>
    <w:rsid w:val="00BC15BB"/>
    <w:rsid w:val="00BC3975"/>
    <w:rsid w:val="00BD0DEE"/>
    <w:rsid w:val="00BD0F7E"/>
    <w:rsid w:val="00BD3F9E"/>
    <w:rsid w:val="00BE21F1"/>
    <w:rsid w:val="00BE43E7"/>
    <w:rsid w:val="00BE67D3"/>
    <w:rsid w:val="00BE69DE"/>
    <w:rsid w:val="00BF1CD2"/>
    <w:rsid w:val="00BF2FEC"/>
    <w:rsid w:val="00BF6AF6"/>
    <w:rsid w:val="00C02A35"/>
    <w:rsid w:val="00C05D8C"/>
    <w:rsid w:val="00C11EF0"/>
    <w:rsid w:val="00C139E6"/>
    <w:rsid w:val="00C14B81"/>
    <w:rsid w:val="00C161F7"/>
    <w:rsid w:val="00C21112"/>
    <w:rsid w:val="00C24383"/>
    <w:rsid w:val="00C272ED"/>
    <w:rsid w:val="00C27B19"/>
    <w:rsid w:val="00C317A6"/>
    <w:rsid w:val="00C3252C"/>
    <w:rsid w:val="00C42651"/>
    <w:rsid w:val="00C43B37"/>
    <w:rsid w:val="00C451A4"/>
    <w:rsid w:val="00C45E53"/>
    <w:rsid w:val="00C549F6"/>
    <w:rsid w:val="00C617DA"/>
    <w:rsid w:val="00C629D7"/>
    <w:rsid w:val="00C62BC8"/>
    <w:rsid w:val="00C70B0E"/>
    <w:rsid w:val="00C71FF1"/>
    <w:rsid w:val="00C7226F"/>
    <w:rsid w:val="00C75C85"/>
    <w:rsid w:val="00C80E3E"/>
    <w:rsid w:val="00C81907"/>
    <w:rsid w:val="00C84EB7"/>
    <w:rsid w:val="00C91428"/>
    <w:rsid w:val="00C929F2"/>
    <w:rsid w:val="00C94B15"/>
    <w:rsid w:val="00C96E09"/>
    <w:rsid w:val="00CA02A8"/>
    <w:rsid w:val="00CA2126"/>
    <w:rsid w:val="00CA4142"/>
    <w:rsid w:val="00CA4FCD"/>
    <w:rsid w:val="00CA59EB"/>
    <w:rsid w:val="00CA7029"/>
    <w:rsid w:val="00CB1FAD"/>
    <w:rsid w:val="00CB278B"/>
    <w:rsid w:val="00CB5B82"/>
    <w:rsid w:val="00CB69BA"/>
    <w:rsid w:val="00CB789F"/>
    <w:rsid w:val="00CC02AA"/>
    <w:rsid w:val="00CC0981"/>
    <w:rsid w:val="00CC1FE1"/>
    <w:rsid w:val="00CC299B"/>
    <w:rsid w:val="00CC585F"/>
    <w:rsid w:val="00CD122D"/>
    <w:rsid w:val="00CD6C47"/>
    <w:rsid w:val="00CE0317"/>
    <w:rsid w:val="00CE1AC0"/>
    <w:rsid w:val="00CE4E27"/>
    <w:rsid w:val="00CE546F"/>
    <w:rsid w:val="00CE5E6C"/>
    <w:rsid w:val="00CE7A85"/>
    <w:rsid w:val="00CF7E81"/>
    <w:rsid w:val="00D01FA1"/>
    <w:rsid w:val="00D02B3A"/>
    <w:rsid w:val="00D0330E"/>
    <w:rsid w:val="00D04412"/>
    <w:rsid w:val="00D04ECD"/>
    <w:rsid w:val="00D070DD"/>
    <w:rsid w:val="00D07407"/>
    <w:rsid w:val="00D10B50"/>
    <w:rsid w:val="00D13456"/>
    <w:rsid w:val="00D15B56"/>
    <w:rsid w:val="00D170FC"/>
    <w:rsid w:val="00D23A67"/>
    <w:rsid w:val="00D31DFD"/>
    <w:rsid w:val="00D33F91"/>
    <w:rsid w:val="00D3474B"/>
    <w:rsid w:val="00D34E9F"/>
    <w:rsid w:val="00D35709"/>
    <w:rsid w:val="00D3743F"/>
    <w:rsid w:val="00D431F1"/>
    <w:rsid w:val="00D4400E"/>
    <w:rsid w:val="00D44B29"/>
    <w:rsid w:val="00D46EA8"/>
    <w:rsid w:val="00D52353"/>
    <w:rsid w:val="00D527C5"/>
    <w:rsid w:val="00D52C07"/>
    <w:rsid w:val="00D54301"/>
    <w:rsid w:val="00D56766"/>
    <w:rsid w:val="00D57470"/>
    <w:rsid w:val="00D64F0D"/>
    <w:rsid w:val="00D70CC5"/>
    <w:rsid w:val="00D711AA"/>
    <w:rsid w:val="00D71E41"/>
    <w:rsid w:val="00D733F8"/>
    <w:rsid w:val="00D75D46"/>
    <w:rsid w:val="00D76C4F"/>
    <w:rsid w:val="00D8402E"/>
    <w:rsid w:val="00D846CA"/>
    <w:rsid w:val="00D848D5"/>
    <w:rsid w:val="00D861D3"/>
    <w:rsid w:val="00D86268"/>
    <w:rsid w:val="00D86993"/>
    <w:rsid w:val="00D93C75"/>
    <w:rsid w:val="00D93F03"/>
    <w:rsid w:val="00D97116"/>
    <w:rsid w:val="00D972DD"/>
    <w:rsid w:val="00D979EB"/>
    <w:rsid w:val="00DA1EAC"/>
    <w:rsid w:val="00DA3CE9"/>
    <w:rsid w:val="00DA4C3D"/>
    <w:rsid w:val="00DA703C"/>
    <w:rsid w:val="00DB143E"/>
    <w:rsid w:val="00DB36DE"/>
    <w:rsid w:val="00DB4F45"/>
    <w:rsid w:val="00DB5DA0"/>
    <w:rsid w:val="00DB6753"/>
    <w:rsid w:val="00DB6E12"/>
    <w:rsid w:val="00DC0C58"/>
    <w:rsid w:val="00DC2450"/>
    <w:rsid w:val="00DD118C"/>
    <w:rsid w:val="00DE17AF"/>
    <w:rsid w:val="00DE3DBE"/>
    <w:rsid w:val="00DF5774"/>
    <w:rsid w:val="00DF62C6"/>
    <w:rsid w:val="00DF77D6"/>
    <w:rsid w:val="00E0638C"/>
    <w:rsid w:val="00E06A24"/>
    <w:rsid w:val="00E07D81"/>
    <w:rsid w:val="00E11F4E"/>
    <w:rsid w:val="00E129F9"/>
    <w:rsid w:val="00E202CB"/>
    <w:rsid w:val="00E22F00"/>
    <w:rsid w:val="00E232AD"/>
    <w:rsid w:val="00E24289"/>
    <w:rsid w:val="00E268C1"/>
    <w:rsid w:val="00E3201B"/>
    <w:rsid w:val="00E34D1F"/>
    <w:rsid w:val="00E36BC3"/>
    <w:rsid w:val="00E40B55"/>
    <w:rsid w:val="00E40DC7"/>
    <w:rsid w:val="00E41461"/>
    <w:rsid w:val="00E42257"/>
    <w:rsid w:val="00E44636"/>
    <w:rsid w:val="00E51B74"/>
    <w:rsid w:val="00E51CC8"/>
    <w:rsid w:val="00E53A38"/>
    <w:rsid w:val="00E54ACB"/>
    <w:rsid w:val="00E56F3C"/>
    <w:rsid w:val="00E604FB"/>
    <w:rsid w:val="00E6294F"/>
    <w:rsid w:val="00E67C52"/>
    <w:rsid w:val="00E70156"/>
    <w:rsid w:val="00E703F2"/>
    <w:rsid w:val="00E70B17"/>
    <w:rsid w:val="00E71A93"/>
    <w:rsid w:val="00E81AC5"/>
    <w:rsid w:val="00E82F86"/>
    <w:rsid w:val="00E85634"/>
    <w:rsid w:val="00E85EAA"/>
    <w:rsid w:val="00E93300"/>
    <w:rsid w:val="00E949D7"/>
    <w:rsid w:val="00E95999"/>
    <w:rsid w:val="00E9672D"/>
    <w:rsid w:val="00E96B1B"/>
    <w:rsid w:val="00EA11CB"/>
    <w:rsid w:val="00EA5FC7"/>
    <w:rsid w:val="00EA63C3"/>
    <w:rsid w:val="00EB0131"/>
    <w:rsid w:val="00EB319F"/>
    <w:rsid w:val="00EB716D"/>
    <w:rsid w:val="00EC027B"/>
    <w:rsid w:val="00EC64AF"/>
    <w:rsid w:val="00EC64DC"/>
    <w:rsid w:val="00EC7770"/>
    <w:rsid w:val="00EC7988"/>
    <w:rsid w:val="00EC7E53"/>
    <w:rsid w:val="00ED1FF0"/>
    <w:rsid w:val="00ED3769"/>
    <w:rsid w:val="00ED4061"/>
    <w:rsid w:val="00ED462E"/>
    <w:rsid w:val="00ED744A"/>
    <w:rsid w:val="00EE1CE7"/>
    <w:rsid w:val="00EE2F2E"/>
    <w:rsid w:val="00EE444E"/>
    <w:rsid w:val="00EE79A1"/>
    <w:rsid w:val="00EF0FD4"/>
    <w:rsid w:val="00EF4E0E"/>
    <w:rsid w:val="00EF606E"/>
    <w:rsid w:val="00EF63B5"/>
    <w:rsid w:val="00EF652D"/>
    <w:rsid w:val="00EF7567"/>
    <w:rsid w:val="00EF7F60"/>
    <w:rsid w:val="00F012A2"/>
    <w:rsid w:val="00F0240B"/>
    <w:rsid w:val="00F05BF8"/>
    <w:rsid w:val="00F1409A"/>
    <w:rsid w:val="00F163A2"/>
    <w:rsid w:val="00F206EE"/>
    <w:rsid w:val="00F2512B"/>
    <w:rsid w:val="00F27776"/>
    <w:rsid w:val="00F34F28"/>
    <w:rsid w:val="00F36EE3"/>
    <w:rsid w:val="00F376DC"/>
    <w:rsid w:val="00F37BA1"/>
    <w:rsid w:val="00F425F8"/>
    <w:rsid w:val="00F42630"/>
    <w:rsid w:val="00F42F03"/>
    <w:rsid w:val="00F45B28"/>
    <w:rsid w:val="00F4620B"/>
    <w:rsid w:val="00F47DFD"/>
    <w:rsid w:val="00F500DB"/>
    <w:rsid w:val="00F509C3"/>
    <w:rsid w:val="00F528E7"/>
    <w:rsid w:val="00F55DDA"/>
    <w:rsid w:val="00F640D7"/>
    <w:rsid w:val="00F6744B"/>
    <w:rsid w:val="00F67FF7"/>
    <w:rsid w:val="00F70A4A"/>
    <w:rsid w:val="00F73668"/>
    <w:rsid w:val="00F73AE1"/>
    <w:rsid w:val="00F75A17"/>
    <w:rsid w:val="00F936E7"/>
    <w:rsid w:val="00F94E96"/>
    <w:rsid w:val="00FA07A5"/>
    <w:rsid w:val="00FA4FC0"/>
    <w:rsid w:val="00FB76C9"/>
    <w:rsid w:val="00FB7CDB"/>
    <w:rsid w:val="00FC18CB"/>
    <w:rsid w:val="00FC2F3E"/>
    <w:rsid w:val="00FC6FCA"/>
    <w:rsid w:val="00FC7CEA"/>
    <w:rsid w:val="00FD1E8E"/>
    <w:rsid w:val="00FD2698"/>
    <w:rsid w:val="00FD3E45"/>
    <w:rsid w:val="00FD4006"/>
    <w:rsid w:val="00FD5288"/>
    <w:rsid w:val="00FD595A"/>
    <w:rsid w:val="00FD7F96"/>
    <w:rsid w:val="00FE50DD"/>
    <w:rsid w:val="00FE7956"/>
    <w:rsid w:val="00FF544F"/>
    <w:rsid w:val="00FF7B5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A842"/>
  <w15:chartTrackingRefBased/>
  <w15:docId w15:val="{7A69A1B9-A9E8-4EFE-9CF0-AB89D3B4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ar"/>
    <w:uiPriority w:val="9"/>
    <w:unhideWhenUsed/>
    <w:qFormat/>
    <w:rsid w:val="00054320"/>
    <w:pPr>
      <w:keepNext/>
      <w:spacing w:after="0" w:line="480" w:lineRule="auto"/>
      <w:ind w:left="-4819"/>
      <w:jc w:val="center"/>
      <w:outlineLvl w:val="5"/>
    </w:pPr>
    <w:rPr>
      <w:rFonts w:ascii="Futura Md BT" w:eastAsia="Times New Roman" w:hAnsi="Futura Md BT" w:cs="Times New Roman"/>
      <w:b/>
      <w:color w:val="2F5496" w:themeColor="accent1" w:themeShade="BF"/>
      <w:sz w:val="48"/>
      <w:szCs w:val="4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054320"/>
    <w:rPr>
      <w:rFonts w:ascii="Futura Md BT" w:eastAsia="Times New Roman" w:hAnsi="Futura Md BT" w:cs="Times New Roman"/>
      <w:b/>
      <w:color w:val="2F5496" w:themeColor="accent1" w:themeShade="BF"/>
      <w:sz w:val="48"/>
      <w:szCs w:val="48"/>
      <w:lang w:val="es-MX" w:eastAsia="es-ES"/>
    </w:rPr>
  </w:style>
  <w:style w:type="paragraph" w:styleId="NormalWeb">
    <w:name w:val="Normal (Web)"/>
    <w:basedOn w:val="Normal"/>
    <w:uiPriority w:val="99"/>
    <w:unhideWhenUsed/>
    <w:rsid w:val="002A6747"/>
    <w:pPr>
      <w:spacing w:before="100" w:beforeAutospacing="1" w:after="100" w:afterAutospacing="1" w:line="240" w:lineRule="auto"/>
    </w:pPr>
    <w:rPr>
      <w:rFonts w:ascii="Times New Roman" w:eastAsia="Times New Roman" w:hAnsi="Times New Roman" w:cs="Times New Roman"/>
      <w:sz w:val="24"/>
      <w:szCs w:val="24"/>
      <w:lang w:eastAsia="es-NI"/>
    </w:rPr>
  </w:style>
  <w:style w:type="paragraph" w:styleId="Piedepgina">
    <w:name w:val="footer"/>
    <w:basedOn w:val="Normal"/>
    <w:link w:val="PiedepginaCar"/>
    <w:uiPriority w:val="99"/>
    <w:unhideWhenUsed/>
    <w:rsid w:val="002A674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A674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A674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A6747"/>
    <w:pPr>
      <w:outlineLvl w:val="9"/>
    </w:pPr>
    <w:rPr>
      <w:lang w:eastAsia="es-NI"/>
    </w:rPr>
  </w:style>
  <w:style w:type="paragraph" w:styleId="TDC1">
    <w:name w:val="toc 1"/>
    <w:basedOn w:val="Normal"/>
    <w:next w:val="Normal"/>
    <w:autoRedefine/>
    <w:uiPriority w:val="39"/>
    <w:unhideWhenUsed/>
    <w:rsid w:val="002A6747"/>
    <w:pPr>
      <w:spacing w:after="10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A6747"/>
    <w:rPr>
      <w:color w:val="0563C1" w:themeColor="hyperlink"/>
      <w:u w:val="single"/>
    </w:rPr>
  </w:style>
  <w:style w:type="paragraph" w:customStyle="1" w:styleId="Estilo2">
    <w:name w:val="Estilo2"/>
    <w:basedOn w:val="Ttulo1"/>
    <w:link w:val="Estilo2Car"/>
    <w:qFormat/>
    <w:rsid w:val="00125AF2"/>
    <w:pPr>
      <w:keepLines w:val="0"/>
      <w:spacing w:before="0" w:line="240" w:lineRule="auto"/>
      <w:jc w:val="center"/>
    </w:pPr>
    <w:rPr>
      <w:rFonts w:ascii="Futura Md BT" w:eastAsia="MS Mincho" w:hAnsi="Futura Md BT" w:cs="Arial"/>
      <w:b/>
      <w:bCs/>
      <w:color w:val="004B85"/>
      <w:kern w:val="32"/>
      <w:sz w:val="28"/>
      <w:szCs w:val="28"/>
      <w:lang w:val="es-ES" w:eastAsia="es-ES"/>
    </w:rPr>
  </w:style>
  <w:style w:type="character" w:customStyle="1" w:styleId="Estilo2Car">
    <w:name w:val="Estilo2 Car"/>
    <w:basedOn w:val="Fuentedeprrafopredeter"/>
    <w:link w:val="Estilo2"/>
    <w:rsid w:val="00125AF2"/>
    <w:rPr>
      <w:rFonts w:ascii="Futura Md BT" w:eastAsia="MS Mincho" w:hAnsi="Futura Md BT" w:cs="Arial"/>
      <w:b/>
      <w:bCs/>
      <w:color w:val="004B85"/>
      <w:kern w:val="32"/>
      <w:sz w:val="28"/>
      <w:szCs w:val="28"/>
      <w:lang w:val="es-ES" w:eastAsia="es-ES"/>
    </w:rPr>
  </w:style>
  <w:style w:type="character" w:styleId="Textoennegrita">
    <w:name w:val="Strong"/>
    <w:basedOn w:val="Fuentedeprrafopredeter"/>
    <w:uiPriority w:val="22"/>
    <w:qFormat/>
    <w:rsid w:val="00125AF2"/>
    <w:rPr>
      <w:b/>
      <w:bCs/>
    </w:rPr>
  </w:style>
  <w:style w:type="paragraph" w:styleId="Textonotapie">
    <w:name w:val="footnote text"/>
    <w:aliases w:val="single space,footnote text,fn,Footnote Text Char Car Car Car Car Car Car Car Car Car Car Car Car Car Car Car Car Car Car Car Car Car Car Car Car Car Car Car Car Car Car Car Car Car Car Car Car Car Car Car Car,Footnote Text Char,Char"/>
    <w:basedOn w:val="Normal"/>
    <w:link w:val="TextonotapieCar"/>
    <w:uiPriority w:val="99"/>
    <w:unhideWhenUsed/>
    <w:qFormat/>
    <w:rsid w:val="0091514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single space Car,footnote text Car,fn Car,Footnote Text Char Car Car Car Car Car Car Car Car Car Car Car Car Car Car Car Car Car Car Car Car Car Car Car Car Car Car Car Car Car Car Car Car Car Car Car Car Car Car Car Car Car,Char Car"/>
    <w:basedOn w:val="Fuentedeprrafopredeter"/>
    <w:link w:val="Textonotapie"/>
    <w:uiPriority w:val="99"/>
    <w:qFormat/>
    <w:rsid w:val="0091514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qFormat/>
    <w:rsid w:val="00915142"/>
    <w:rPr>
      <w:vertAlign w:val="superscript"/>
    </w:rPr>
  </w:style>
  <w:style w:type="table" w:styleId="Tablaconcuadrcula">
    <w:name w:val="Table Grid"/>
    <w:basedOn w:val="Tablanormal"/>
    <w:uiPriority w:val="39"/>
    <w:rsid w:val="0091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2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B3A"/>
  </w:style>
  <w:style w:type="character" w:styleId="Refdecomentario">
    <w:name w:val="annotation reference"/>
    <w:basedOn w:val="Fuentedeprrafopredeter"/>
    <w:uiPriority w:val="99"/>
    <w:semiHidden/>
    <w:unhideWhenUsed/>
    <w:rsid w:val="00A34759"/>
    <w:rPr>
      <w:sz w:val="16"/>
      <w:szCs w:val="16"/>
    </w:rPr>
  </w:style>
  <w:style w:type="paragraph" w:styleId="Textocomentario">
    <w:name w:val="annotation text"/>
    <w:basedOn w:val="Normal"/>
    <w:link w:val="TextocomentarioCar"/>
    <w:uiPriority w:val="99"/>
    <w:semiHidden/>
    <w:unhideWhenUsed/>
    <w:rsid w:val="00A34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759"/>
    <w:rPr>
      <w:sz w:val="20"/>
      <w:szCs w:val="20"/>
    </w:rPr>
  </w:style>
  <w:style w:type="paragraph" w:styleId="Asuntodelcomentario">
    <w:name w:val="annotation subject"/>
    <w:basedOn w:val="Textocomentario"/>
    <w:next w:val="Textocomentario"/>
    <w:link w:val="AsuntodelcomentarioCar"/>
    <w:uiPriority w:val="99"/>
    <w:semiHidden/>
    <w:unhideWhenUsed/>
    <w:rsid w:val="00A34759"/>
    <w:rPr>
      <w:b/>
      <w:bCs/>
    </w:rPr>
  </w:style>
  <w:style w:type="character" w:customStyle="1" w:styleId="AsuntodelcomentarioCar">
    <w:name w:val="Asunto del comentario Car"/>
    <w:basedOn w:val="TextocomentarioCar"/>
    <w:link w:val="Asuntodelcomentario"/>
    <w:uiPriority w:val="99"/>
    <w:semiHidden/>
    <w:rsid w:val="00A34759"/>
    <w:rPr>
      <w:b/>
      <w:bCs/>
      <w:sz w:val="20"/>
      <w:szCs w:val="20"/>
    </w:rPr>
  </w:style>
  <w:style w:type="paragraph" w:styleId="Textodeglobo">
    <w:name w:val="Balloon Text"/>
    <w:basedOn w:val="Normal"/>
    <w:link w:val="TextodegloboCar"/>
    <w:uiPriority w:val="99"/>
    <w:semiHidden/>
    <w:unhideWhenUsed/>
    <w:rsid w:val="00513F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3FAF"/>
    <w:rPr>
      <w:rFonts w:ascii="Segoe UI" w:hAnsi="Segoe UI" w:cs="Segoe UI"/>
      <w:sz w:val="18"/>
      <w:szCs w:val="18"/>
    </w:rPr>
  </w:style>
  <w:style w:type="paragraph" w:styleId="Prrafodelista">
    <w:name w:val="List Paragraph"/>
    <w:basedOn w:val="Normal"/>
    <w:uiPriority w:val="34"/>
    <w:qFormat/>
    <w:rsid w:val="00BD0DEE"/>
    <w:pPr>
      <w:ind w:left="720"/>
      <w:contextualSpacing/>
    </w:pPr>
  </w:style>
  <w:style w:type="paragraph" w:styleId="Textonotaalfinal">
    <w:name w:val="endnote text"/>
    <w:basedOn w:val="Normal"/>
    <w:link w:val="TextonotaalfinalCar"/>
    <w:uiPriority w:val="99"/>
    <w:semiHidden/>
    <w:unhideWhenUsed/>
    <w:rsid w:val="007F352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F352D"/>
    <w:rPr>
      <w:sz w:val="20"/>
      <w:szCs w:val="20"/>
    </w:rPr>
  </w:style>
  <w:style w:type="character" w:styleId="Refdenotaalfinal">
    <w:name w:val="endnote reference"/>
    <w:basedOn w:val="Fuentedeprrafopredeter"/>
    <w:uiPriority w:val="99"/>
    <w:semiHidden/>
    <w:unhideWhenUsed/>
    <w:rsid w:val="007F352D"/>
    <w:rPr>
      <w:vertAlign w:val="superscript"/>
    </w:rPr>
  </w:style>
  <w:style w:type="paragraph" w:styleId="Textoindependiente">
    <w:name w:val="Body Text"/>
    <w:basedOn w:val="Normal"/>
    <w:link w:val="TextoindependienteCar"/>
    <w:rsid w:val="007F352D"/>
    <w:pPr>
      <w:spacing w:after="0" w:line="240" w:lineRule="auto"/>
      <w:jc w:val="both"/>
    </w:pPr>
    <w:rPr>
      <w:rFonts w:ascii="Futura Lt BT" w:eastAsia="Times New Roman" w:hAnsi="Futura Lt BT" w:cs="Times New Roman"/>
      <w:sz w:val="24"/>
      <w:szCs w:val="24"/>
      <w:lang w:val="es-MX" w:eastAsia="es-ES"/>
    </w:rPr>
  </w:style>
  <w:style w:type="character" w:customStyle="1" w:styleId="TextoindependienteCar">
    <w:name w:val="Texto independiente Car"/>
    <w:basedOn w:val="Fuentedeprrafopredeter"/>
    <w:link w:val="Textoindependiente"/>
    <w:rsid w:val="007F352D"/>
    <w:rPr>
      <w:rFonts w:ascii="Futura Lt BT" w:eastAsia="Times New Roman" w:hAnsi="Futura Lt BT" w:cs="Times New Roman"/>
      <w:sz w:val="24"/>
      <w:szCs w:val="24"/>
      <w:lang w:val="es-MX" w:eastAsia="es-ES"/>
    </w:rPr>
  </w:style>
  <w:style w:type="paragraph" w:styleId="Sinespaciado">
    <w:name w:val="No Spacing"/>
    <w:uiPriority w:val="1"/>
    <w:qFormat/>
    <w:rsid w:val="00797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5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s://www.bcentral.cl/web/banco-central/sector-externo-inversion-extranjera-directa" TargetMode="External"/><Relationship Id="rId2" Type="http://schemas.openxmlformats.org/officeDocument/2006/relationships/hyperlink" Target="https://www.bcentral.cl/documents/33528/2546144/Cuenta_Capital.pdf" TargetMode="External"/><Relationship Id="rId1" Type="http://schemas.openxmlformats.org/officeDocument/2006/relationships/hyperlink" Target="https://si3.bcentral.cl/estadisticas/Principal1/Metodologias/SE/BDP/Transferencias.pdf" TargetMode="External"/><Relationship Id="rId5" Type="http://schemas.openxmlformats.org/officeDocument/2006/relationships/hyperlink" Target="https://si3.bcentral.cl/estadisticas/Principal1/Metodologias/SE/BDP/CF_Reserva.pdf" TargetMode="External"/><Relationship Id="rId4" Type="http://schemas.openxmlformats.org/officeDocument/2006/relationships/hyperlink" Target="https://si3.bcentral.cl/estadisticas/Principal1/enlaces/excel/SE/Excel_SE_Balanz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09A0-37AD-4B9F-BEA1-80F4A8FE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2555</Words>
  <Characters>14055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Aráuz Angulo, Elisa Javiera</dc:creator>
  <cp:keywords/>
  <dc:description/>
  <cp:lastModifiedBy>Aguilar Méndez, Miguel Antonio</cp:lastModifiedBy>
  <cp:revision>5</cp:revision>
  <cp:lastPrinted>2023-05-12T15:15:00Z</cp:lastPrinted>
  <dcterms:created xsi:type="dcterms:W3CDTF">2024-10-15T18:22:00Z</dcterms:created>
  <dcterms:modified xsi:type="dcterms:W3CDTF">2024-10-17T15:31:00Z</dcterms:modified>
</cp:coreProperties>
</file>