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2F7B" w:rsidRPr="00BD3EE9" w:rsidRDefault="00885361" w:rsidP="00D52F7B">
      <w:pPr>
        <w:spacing w:line="276" w:lineRule="auto"/>
        <w:jc w:val="center"/>
        <w:rPr>
          <w:rFonts w:ascii="Futura Md BT" w:hAnsi="Futura Md BT"/>
          <w:b/>
          <w:noProof/>
          <w:color w:val="D5A10F"/>
          <w:sz w:val="56"/>
          <w:lang w:eastAsia="es-NI"/>
          <w14:textOutline w14:w="0" w14:cap="flat" w14:cmpd="sng" w14:algn="ctr">
            <w14:noFill/>
            <w14:prstDash w14:val="solid"/>
            <w14:round/>
          </w14:textOutline>
          <w14:props3d w14:extrusionH="57150" w14:contourW="0" w14:prstMaterial="softEdge">
            <w14:bevelT w14:w="25400" w14:h="38100" w14:prst="circle"/>
          </w14:props3d>
        </w:rPr>
      </w:pPr>
      <w:r>
        <w:rPr>
          <w:noProof/>
          <w:sz w:val="40"/>
          <w:szCs w:val="40"/>
          <w:lang w:eastAsia="es-NI"/>
        </w:rPr>
        <w:drawing>
          <wp:anchor distT="0" distB="0" distL="114300" distR="114300" simplePos="0" relativeHeight="251671552" behindDoc="1" locked="0" layoutInCell="1" allowOverlap="1" wp14:anchorId="11E0BFAA" wp14:editId="7625848B">
            <wp:simplePos x="0" y="0"/>
            <wp:positionH relativeFrom="column">
              <wp:posOffset>-914400</wp:posOffset>
            </wp:positionH>
            <wp:positionV relativeFrom="paragraph">
              <wp:posOffset>-857250</wp:posOffset>
            </wp:positionV>
            <wp:extent cx="7768590" cy="10053468"/>
            <wp:effectExtent l="0" t="0" r="3810" b="508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_propuesta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8590" cy="10053468"/>
                    </a:xfrm>
                    <a:prstGeom prst="rect">
                      <a:avLst/>
                    </a:prstGeom>
                  </pic:spPr>
                </pic:pic>
              </a:graphicData>
            </a:graphic>
            <wp14:sizeRelH relativeFrom="page">
              <wp14:pctWidth>0</wp14:pctWidth>
            </wp14:sizeRelH>
            <wp14:sizeRelV relativeFrom="page">
              <wp14:pctHeight>0</wp14:pctHeight>
            </wp14:sizeRelV>
          </wp:anchor>
        </w:drawing>
      </w:r>
    </w:p>
    <w:p w:rsidR="00D52F7B" w:rsidRPr="00BD3EE9" w:rsidRDefault="00D52F7B" w:rsidP="00D52F7B">
      <w:pPr>
        <w:spacing w:line="276" w:lineRule="auto"/>
        <w:jc w:val="center"/>
        <w:rPr>
          <w:rFonts w:ascii="Futura Md BT" w:hAnsi="Futura Md BT"/>
          <w:b/>
          <w:noProof/>
          <w:color w:val="D5A10F"/>
          <w:sz w:val="56"/>
          <w:lang w:eastAsia="es-NI"/>
          <w14:textOutline w14:w="0" w14:cap="flat" w14:cmpd="sng" w14:algn="ctr">
            <w14:noFill/>
            <w14:prstDash w14:val="solid"/>
            <w14:round/>
          </w14:textOutline>
          <w14:props3d w14:extrusionH="57150" w14:contourW="0" w14:prstMaterial="softEdge">
            <w14:bevelT w14:w="25400" w14:h="38100" w14:prst="circle"/>
          </w14:props3d>
        </w:rPr>
      </w:pPr>
    </w:p>
    <w:p w:rsidR="00D52F7B" w:rsidRPr="00BD3EE9" w:rsidRDefault="00D52F7B" w:rsidP="00D52F7B">
      <w:pPr>
        <w:spacing w:line="276" w:lineRule="auto"/>
        <w:jc w:val="center"/>
        <w:rPr>
          <w:rFonts w:ascii="Futura Md BT" w:hAnsi="Futura Md BT"/>
          <w:b/>
          <w:noProof/>
          <w:color w:val="D5A10F"/>
          <w:sz w:val="56"/>
          <w:lang w:eastAsia="es-NI"/>
          <w14:textOutline w14:w="0" w14:cap="flat" w14:cmpd="sng" w14:algn="ctr">
            <w14:noFill/>
            <w14:prstDash w14:val="solid"/>
            <w14:round/>
          </w14:textOutline>
          <w14:props3d w14:extrusionH="57150" w14:contourW="0" w14:prstMaterial="softEdge">
            <w14:bevelT w14:w="25400" w14:h="38100" w14:prst="circle"/>
          </w14:props3d>
        </w:rPr>
      </w:pPr>
    </w:p>
    <w:p w:rsidR="00D52F7B" w:rsidRPr="00BD3EE9" w:rsidRDefault="00D52F7B" w:rsidP="00D52F7B">
      <w:pPr>
        <w:spacing w:line="276" w:lineRule="auto"/>
        <w:jc w:val="center"/>
        <w:rPr>
          <w:rFonts w:ascii="Futura Md BT" w:hAnsi="Futura Md BT"/>
          <w:b/>
          <w:noProof/>
          <w:color w:val="D5A10F"/>
          <w:sz w:val="56"/>
          <w:lang w:eastAsia="es-NI"/>
          <w14:textOutline w14:w="0" w14:cap="flat" w14:cmpd="sng" w14:algn="ctr">
            <w14:noFill/>
            <w14:prstDash w14:val="solid"/>
            <w14:round/>
          </w14:textOutline>
          <w14:props3d w14:extrusionH="57150" w14:contourW="0" w14:prstMaterial="softEdge">
            <w14:bevelT w14:w="25400" w14:h="38100" w14:prst="circle"/>
          </w14:props3d>
        </w:rPr>
      </w:pPr>
    </w:p>
    <w:p w:rsidR="006A0A1A" w:rsidRDefault="006A0A1A" w:rsidP="00D52F7B">
      <w:pPr>
        <w:spacing w:after="0" w:line="240" w:lineRule="auto"/>
        <w:jc w:val="center"/>
        <w:rPr>
          <w:rFonts w:ascii="Futura Md BT" w:hAnsi="Futura Md BT"/>
          <w:b/>
          <w:noProof/>
          <w:color w:val="D5A10F"/>
          <w:sz w:val="56"/>
          <w:lang w:eastAsia="es-NI"/>
          <w14:textOutline w14:w="0" w14:cap="flat" w14:cmpd="sng" w14:algn="ctr">
            <w14:noFill/>
            <w14:prstDash w14:val="solid"/>
            <w14:round/>
          </w14:textOutline>
          <w14:props3d w14:extrusionH="57150" w14:contourW="0" w14:prstMaterial="softEdge">
            <w14:bevelT w14:w="25400" w14:h="38100" w14:prst="circle"/>
          </w14:props3d>
        </w:rPr>
      </w:pPr>
    </w:p>
    <w:p w:rsidR="00AE4242" w:rsidRPr="00BD3EE9" w:rsidRDefault="00AE4242" w:rsidP="00D52F7B">
      <w:pPr>
        <w:spacing w:after="0" w:line="240" w:lineRule="auto"/>
        <w:jc w:val="center"/>
        <w:rPr>
          <w:rFonts w:ascii="Futura Md BT" w:hAnsi="Futura Md BT"/>
          <w:b/>
          <w:noProof/>
          <w:color w:val="D5A10F"/>
          <w:sz w:val="56"/>
          <w:lang w:eastAsia="es-NI"/>
          <w14:textOutline w14:w="0" w14:cap="flat" w14:cmpd="sng" w14:algn="ctr">
            <w14:noFill/>
            <w14:prstDash w14:val="solid"/>
            <w14:round/>
          </w14:textOutline>
          <w14:props3d w14:extrusionH="57150" w14:contourW="0" w14:prstMaterial="softEdge">
            <w14:bevelT w14:w="25400" w14:h="38100" w14:prst="circle"/>
          </w14:props3d>
        </w:rPr>
      </w:pPr>
      <w:r>
        <w:rPr>
          <w:rFonts w:ascii="Futura Md BT" w:hAnsi="Futura Md BT"/>
          <w:b/>
          <w:noProof/>
          <w:color w:val="D5A10F"/>
          <w:sz w:val="56"/>
          <w:lang w:eastAsia="es-NI"/>
          <w14:textOutline w14:w="0" w14:cap="flat" w14:cmpd="sng" w14:algn="ctr">
            <w14:noFill/>
            <w14:prstDash w14:val="solid"/>
            <w14:round/>
          </w14:textOutline>
          <w14:props3d w14:extrusionH="57150" w14:contourW="0" w14:prstMaterial="softEdge">
            <w14:bevelT w14:w="25400" w14:h="38100" w14:prst="circle"/>
          </w14:props3d>
        </w:rPr>
        <w:t>Perspectivas Macroeconómicas</w:t>
      </w:r>
    </w:p>
    <w:p w:rsidR="00DC08BA" w:rsidRDefault="00DC08BA" w:rsidP="00103209">
      <w:pPr>
        <w:spacing w:after="0" w:line="276" w:lineRule="auto"/>
        <w:jc w:val="center"/>
        <w:rPr>
          <w:rFonts w:ascii="Futura Md BT" w:hAnsi="Futura Md BT"/>
          <w:b/>
          <w:noProof/>
          <w:color w:val="D5A10F"/>
          <w:sz w:val="36"/>
          <w:szCs w:val="36"/>
          <w:lang w:eastAsia="es-NI"/>
          <w14:textOutline w14:w="0" w14:cap="flat" w14:cmpd="sng" w14:algn="ctr">
            <w14:noFill/>
            <w14:prstDash w14:val="solid"/>
            <w14:round/>
          </w14:textOutline>
          <w14:props3d w14:extrusionH="57150" w14:contourW="0" w14:prstMaterial="softEdge">
            <w14:bevelT w14:w="25400" w14:h="38100" w14:prst="circle"/>
          </w14:props3d>
        </w:rPr>
      </w:pPr>
    </w:p>
    <w:p w:rsidR="00DC08BA" w:rsidRDefault="00DC08BA" w:rsidP="00103209">
      <w:pPr>
        <w:spacing w:after="0" w:line="276" w:lineRule="auto"/>
        <w:jc w:val="center"/>
        <w:rPr>
          <w:rFonts w:ascii="Futura Md BT" w:hAnsi="Futura Md BT"/>
          <w:b/>
          <w:noProof/>
          <w:color w:val="D5A10F"/>
          <w:sz w:val="36"/>
          <w:szCs w:val="36"/>
          <w:lang w:eastAsia="es-NI"/>
          <w14:textOutline w14:w="0" w14:cap="flat" w14:cmpd="sng" w14:algn="ctr">
            <w14:noFill/>
            <w14:prstDash w14:val="solid"/>
            <w14:round/>
          </w14:textOutline>
          <w14:props3d w14:extrusionH="57150" w14:contourW="0" w14:prstMaterial="softEdge">
            <w14:bevelT w14:w="25400" w14:h="38100" w14:prst="circle"/>
          </w14:props3d>
        </w:rPr>
      </w:pPr>
    </w:p>
    <w:p w:rsidR="00DC08BA" w:rsidRPr="00BD3EE9" w:rsidRDefault="00DC08BA" w:rsidP="00103209">
      <w:pPr>
        <w:spacing w:after="0" w:line="276" w:lineRule="auto"/>
        <w:jc w:val="center"/>
        <w:rPr>
          <w:rFonts w:ascii="Futura Md BT" w:hAnsi="Futura Md BT"/>
          <w:b/>
          <w:noProof/>
          <w:color w:val="D5A10F"/>
          <w:sz w:val="36"/>
          <w:szCs w:val="36"/>
          <w:lang w:eastAsia="es-NI"/>
          <w14:textOutline w14:w="0" w14:cap="flat" w14:cmpd="sng" w14:algn="ctr">
            <w14:noFill/>
            <w14:prstDash w14:val="solid"/>
            <w14:round/>
          </w14:textOutline>
          <w14:props3d w14:extrusionH="57150" w14:contourW="0" w14:prstMaterial="softEdge">
            <w14:bevelT w14:w="25400" w14:h="38100" w14:prst="circle"/>
          </w14:props3d>
        </w:rPr>
      </w:pPr>
    </w:p>
    <w:p w:rsidR="000F01BE" w:rsidRPr="00E42D46" w:rsidRDefault="00DE39DE" w:rsidP="0018476A">
      <w:pPr>
        <w:spacing w:after="0" w:line="276" w:lineRule="auto"/>
        <w:jc w:val="center"/>
        <w:rPr>
          <w:rFonts w:ascii="Futura Lt BT" w:hAnsi="Futura Lt BT"/>
          <w:bCs/>
          <w:sz w:val="32"/>
          <w:szCs w:val="32"/>
          <w:lang w:val="es-MX"/>
        </w:rPr>
      </w:pPr>
      <w:r>
        <w:rPr>
          <w:rFonts w:ascii="Futura Md BT" w:hAnsi="Futura Md BT"/>
          <w:b/>
          <w:noProof/>
          <w:color w:val="D5A10F"/>
          <w:sz w:val="32"/>
          <w:szCs w:val="32"/>
          <w:lang w:eastAsia="es-NI"/>
          <w14:textOutline w14:w="0" w14:cap="flat" w14:cmpd="sng" w14:algn="ctr">
            <w14:noFill/>
            <w14:prstDash w14:val="solid"/>
            <w14:round/>
          </w14:textOutline>
          <w14:props3d w14:extrusionH="57150" w14:contourW="0" w14:prstMaterial="softEdge">
            <w14:bevelT w14:w="25400" w14:h="38100" w14:prst="circle"/>
          </w14:props3d>
        </w:rPr>
        <w:t>Octubre</w:t>
      </w:r>
      <w:r w:rsidR="00103209" w:rsidRPr="00E42D46">
        <w:rPr>
          <w:rFonts w:ascii="Futura Md BT" w:hAnsi="Futura Md BT"/>
          <w:b/>
          <w:noProof/>
          <w:color w:val="D5A10F"/>
          <w:sz w:val="32"/>
          <w:szCs w:val="32"/>
          <w:lang w:eastAsia="es-NI"/>
          <w14:textOutline w14:w="0" w14:cap="flat" w14:cmpd="sng" w14:algn="ctr">
            <w14:noFill/>
            <w14:prstDash w14:val="solid"/>
            <w14:round/>
          </w14:textOutline>
          <w14:props3d w14:extrusionH="57150" w14:contourW="0" w14:prstMaterial="softEdge">
            <w14:bevelT w14:w="25400" w14:h="38100" w14:prst="circle"/>
          </w14:props3d>
        </w:rPr>
        <w:t xml:space="preserve"> 202</w:t>
      </w:r>
      <w:bookmarkStart w:id="0" w:name="_Hlk66785531"/>
      <w:bookmarkEnd w:id="0"/>
      <w:r w:rsidR="00E42D46">
        <w:rPr>
          <w:rFonts w:ascii="Futura Md BT" w:hAnsi="Futura Md BT"/>
          <w:b/>
          <w:noProof/>
          <w:color w:val="D5A10F"/>
          <w:sz w:val="32"/>
          <w:szCs w:val="32"/>
          <w:lang w:eastAsia="es-NI"/>
          <w14:textOutline w14:w="0" w14:cap="flat" w14:cmpd="sng" w14:algn="ctr">
            <w14:noFill/>
            <w14:prstDash w14:val="solid"/>
            <w14:round/>
          </w14:textOutline>
          <w14:props3d w14:extrusionH="57150" w14:contourW="0" w14:prstMaterial="softEdge">
            <w14:bevelT w14:w="25400" w14:h="38100" w14:prst="circle"/>
          </w14:props3d>
        </w:rPr>
        <w:t>4</w:t>
      </w:r>
      <w:r w:rsidR="006355E1" w:rsidRPr="00E42D46">
        <w:rPr>
          <w:rFonts w:ascii="Futura Lt BT" w:hAnsi="Futura Lt BT"/>
          <w:b/>
          <w:bCs/>
          <w:color w:val="4472C4" w:themeColor="accent1"/>
          <w:sz w:val="32"/>
          <w:szCs w:val="32"/>
          <w:lang w:val="es-MX"/>
        </w:rPr>
        <w:br w:type="page"/>
      </w:r>
    </w:p>
    <w:p w:rsidR="006A0A1A" w:rsidRDefault="006A0A1A" w:rsidP="007F6FF6">
      <w:pPr>
        <w:spacing w:line="278" w:lineRule="auto"/>
        <w:jc w:val="both"/>
        <w:rPr>
          <w:rFonts w:ascii="Futura Lt BT" w:hAnsi="Futura Lt BT"/>
        </w:rPr>
      </w:pPr>
      <w:bookmarkStart w:id="1" w:name="_Hlk67997193"/>
      <w:r>
        <w:rPr>
          <w:rFonts w:ascii="Futura Lt BT" w:hAnsi="Futura Lt BT"/>
        </w:rPr>
        <w:lastRenderedPageBreak/>
        <w:t xml:space="preserve">En esta nota </w:t>
      </w:r>
      <w:r w:rsidRPr="006A0A1A">
        <w:rPr>
          <w:rFonts w:ascii="Futura Lt BT" w:hAnsi="Futura Lt BT"/>
        </w:rPr>
        <w:t xml:space="preserve">de Perspectivas Macroeconómicas </w:t>
      </w:r>
      <w:r>
        <w:rPr>
          <w:rFonts w:ascii="Futura Lt BT" w:hAnsi="Futura Lt BT"/>
        </w:rPr>
        <w:t xml:space="preserve">se </w:t>
      </w:r>
      <w:r w:rsidRPr="006A0A1A">
        <w:rPr>
          <w:rFonts w:ascii="Futura Lt BT" w:hAnsi="Futura Lt BT"/>
        </w:rPr>
        <w:t>presenta</w:t>
      </w:r>
      <w:r>
        <w:rPr>
          <w:rFonts w:ascii="Futura Lt BT" w:hAnsi="Futura Lt BT"/>
        </w:rPr>
        <w:t>n</w:t>
      </w:r>
      <w:r w:rsidR="006802DF">
        <w:rPr>
          <w:rFonts w:ascii="Futura Lt BT" w:hAnsi="Futura Lt BT"/>
        </w:rPr>
        <w:t xml:space="preserve"> los resultados de </w:t>
      </w:r>
      <w:r w:rsidRPr="006A0A1A">
        <w:rPr>
          <w:rFonts w:ascii="Futura Lt BT" w:hAnsi="Futura Lt BT"/>
        </w:rPr>
        <w:t xml:space="preserve">las </w:t>
      </w:r>
      <w:r>
        <w:rPr>
          <w:rFonts w:ascii="Futura Lt BT" w:hAnsi="Futura Lt BT"/>
        </w:rPr>
        <w:t xml:space="preserve">proyecciones más recientes </w:t>
      </w:r>
      <w:r w:rsidR="006802DF">
        <w:rPr>
          <w:rFonts w:ascii="Futura Lt BT" w:hAnsi="Futura Lt BT"/>
        </w:rPr>
        <w:t xml:space="preserve">del </w:t>
      </w:r>
      <w:r w:rsidR="006802DF" w:rsidRPr="00364271">
        <w:rPr>
          <w:rFonts w:ascii="Futura Lt BT" w:hAnsi="Futura Lt BT"/>
        </w:rPr>
        <w:t>Banco Central de Nicaragua (BCN)</w:t>
      </w:r>
      <w:r w:rsidR="006802DF">
        <w:rPr>
          <w:rFonts w:ascii="Futura Lt BT" w:hAnsi="Futura Lt BT"/>
        </w:rPr>
        <w:t xml:space="preserve"> </w:t>
      </w:r>
      <w:r w:rsidRPr="006A0A1A">
        <w:rPr>
          <w:rFonts w:ascii="Futura Lt BT" w:hAnsi="Futura Lt BT"/>
        </w:rPr>
        <w:t xml:space="preserve">de las principales variables macroeconómicas, </w:t>
      </w:r>
      <w:r w:rsidR="006802DF">
        <w:rPr>
          <w:rFonts w:ascii="Futura Lt BT" w:hAnsi="Futura Lt BT"/>
        </w:rPr>
        <w:t>obtenidas a través de herramientas de programación financiera y con el uso de los datos disponibles a la fecha.</w:t>
      </w:r>
    </w:p>
    <w:p w:rsidR="006802DF" w:rsidRPr="00FA1EE0" w:rsidRDefault="006802DF" w:rsidP="006802DF">
      <w:pPr>
        <w:pStyle w:val="Ttulo1"/>
        <w:spacing w:before="0" w:after="160" w:line="278" w:lineRule="auto"/>
      </w:pPr>
      <w:r>
        <w:rPr>
          <w:lang w:val="es-MX"/>
        </w:rPr>
        <w:t>Contexto</w:t>
      </w:r>
    </w:p>
    <w:p w:rsidR="00EF48B3" w:rsidRDefault="00152041" w:rsidP="007F6FF6">
      <w:pPr>
        <w:spacing w:line="278" w:lineRule="auto"/>
        <w:jc w:val="both"/>
        <w:rPr>
          <w:rFonts w:ascii="Futura Lt BT" w:hAnsi="Futura Lt BT"/>
        </w:rPr>
      </w:pPr>
      <w:r w:rsidRPr="00152041">
        <w:rPr>
          <w:rFonts w:ascii="Futura Lt BT" w:hAnsi="Futura Lt BT"/>
        </w:rPr>
        <w:t xml:space="preserve">Los indicadores </w:t>
      </w:r>
      <w:r>
        <w:rPr>
          <w:rFonts w:ascii="Futura Lt BT" w:hAnsi="Futura Lt BT"/>
        </w:rPr>
        <w:t xml:space="preserve">macroeconómicos </w:t>
      </w:r>
      <w:r w:rsidR="00F647EE">
        <w:rPr>
          <w:rFonts w:ascii="Futura Lt BT" w:hAnsi="Futura Lt BT"/>
        </w:rPr>
        <w:t xml:space="preserve">reflejan </w:t>
      </w:r>
      <w:r w:rsidR="00EA5DDC">
        <w:rPr>
          <w:rFonts w:ascii="Futura Lt BT" w:hAnsi="Futura Lt BT"/>
        </w:rPr>
        <w:t>que</w:t>
      </w:r>
      <w:r w:rsidRPr="00152041">
        <w:rPr>
          <w:rFonts w:ascii="Futura Lt BT" w:hAnsi="Futura Lt BT"/>
        </w:rPr>
        <w:t xml:space="preserve"> </w:t>
      </w:r>
      <w:r>
        <w:rPr>
          <w:rFonts w:ascii="Futura Lt BT" w:hAnsi="Futura Lt BT"/>
        </w:rPr>
        <w:t xml:space="preserve">la economía nicaragüense </w:t>
      </w:r>
      <w:r w:rsidR="00F647EE">
        <w:rPr>
          <w:rFonts w:ascii="Futura Lt BT" w:hAnsi="Futura Lt BT"/>
        </w:rPr>
        <w:t xml:space="preserve">ha mantenido un desempeño </w:t>
      </w:r>
      <w:r w:rsidR="00364271">
        <w:rPr>
          <w:rFonts w:ascii="Futura Lt BT" w:hAnsi="Futura Lt BT"/>
        </w:rPr>
        <w:t>positivo</w:t>
      </w:r>
      <w:r w:rsidR="00F647EE">
        <w:rPr>
          <w:rFonts w:ascii="Futura Lt BT" w:hAnsi="Futura Lt BT"/>
        </w:rPr>
        <w:t xml:space="preserve"> </w:t>
      </w:r>
      <w:r>
        <w:rPr>
          <w:rFonts w:ascii="Futura Lt BT" w:hAnsi="Futura Lt BT"/>
        </w:rPr>
        <w:t>en 202</w:t>
      </w:r>
      <w:r w:rsidR="00F647EE">
        <w:rPr>
          <w:rFonts w:ascii="Futura Lt BT" w:hAnsi="Futura Lt BT"/>
        </w:rPr>
        <w:t>4</w:t>
      </w:r>
      <w:r w:rsidR="00630B0F">
        <w:rPr>
          <w:rFonts w:ascii="Futura Lt BT" w:hAnsi="Futura Lt BT"/>
        </w:rPr>
        <w:t xml:space="preserve">, </w:t>
      </w:r>
      <w:r w:rsidR="00F647EE">
        <w:rPr>
          <w:rFonts w:ascii="Futura Lt BT" w:hAnsi="Futura Lt BT"/>
        </w:rPr>
        <w:t>apoyado en las condiciones domésticas y externas que han permanecido propicias para que la economía crezca conforme lo esperado. E</w:t>
      </w:r>
      <w:r w:rsidR="00630B0F">
        <w:rPr>
          <w:rFonts w:ascii="Futura Lt BT" w:hAnsi="Futura Lt BT"/>
        </w:rPr>
        <w:t xml:space="preserve">n particular, los datos del Índice Mensual de la Actividad Económica (IMAE) </w:t>
      </w:r>
      <w:r w:rsidR="00BB0503">
        <w:rPr>
          <w:rFonts w:ascii="Futura Lt BT" w:hAnsi="Futura Lt BT"/>
        </w:rPr>
        <w:t xml:space="preserve">muestran </w:t>
      </w:r>
      <w:r w:rsidR="00630B0F">
        <w:rPr>
          <w:rFonts w:ascii="Futura Lt BT" w:hAnsi="Futura Lt BT"/>
        </w:rPr>
        <w:t xml:space="preserve">que la economía sigue en una senda de crecimiento sostenido, con la mayoría de las actividades expandiéndose. </w:t>
      </w:r>
      <w:r w:rsidR="005537BD">
        <w:rPr>
          <w:rFonts w:ascii="Futura Lt BT" w:hAnsi="Futura Lt BT"/>
        </w:rPr>
        <w:t>A</w:t>
      </w:r>
      <w:r w:rsidR="00F647EE">
        <w:rPr>
          <w:rFonts w:ascii="Futura Lt BT" w:hAnsi="Futura Lt BT"/>
        </w:rPr>
        <w:t xml:space="preserve"> </w:t>
      </w:r>
      <w:r w:rsidR="005537BD">
        <w:rPr>
          <w:rFonts w:ascii="Futura Lt BT" w:hAnsi="Futura Lt BT"/>
        </w:rPr>
        <w:t>s</w:t>
      </w:r>
      <w:r w:rsidR="00F647EE">
        <w:rPr>
          <w:rFonts w:ascii="Futura Lt BT" w:hAnsi="Futura Lt BT"/>
        </w:rPr>
        <w:t>u vez</w:t>
      </w:r>
      <w:r w:rsidR="005537BD">
        <w:rPr>
          <w:rFonts w:ascii="Futura Lt BT" w:hAnsi="Futura Lt BT"/>
        </w:rPr>
        <w:t xml:space="preserve">, el mercado laboral </w:t>
      </w:r>
      <w:r w:rsidR="00BB0503">
        <w:rPr>
          <w:rFonts w:ascii="Futura Lt BT" w:hAnsi="Futura Lt BT"/>
        </w:rPr>
        <w:t xml:space="preserve">sigue </w:t>
      </w:r>
      <w:r w:rsidR="005537BD">
        <w:rPr>
          <w:rFonts w:ascii="Futura Lt BT" w:hAnsi="Futura Lt BT"/>
        </w:rPr>
        <w:t>estable, con baja tasa de desempleo y aumento del empleo formal,</w:t>
      </w:r>
      <w:r w:rsidR="00F647EE">
        <w:rPr>
          <w:rFonts w:ascii="Futura Lt BT" w:hAnsi="Futura Lt BT"/>
        </w:rPr>
        <w:t xml:space="preserve"> mientras que, </w:t>
      </w:r>
      <w:r w:rsidR="005537BD">
        <w:rPr>
          <w:rFonts w:ascii="Futura Lt BT" w:hAnsi="Futura Lt BT"/>
        </w:rPr>
        <w:t xml:space="preserve">la </w:t>
      </w:r>
      <w:r w:rsidR="005537BD" w:rsidRPr="005537BD">
        <w:rPr>
          <w:rFonts w:ascii="Futura Lt BT" w:hAnsi="Futura Lt BT"/>
        </w:rPr>
        <w:t>inflación nacional</w:t>
      </w:r>
      <w:r w:rsidR="00F647EE">
        <w:rPr>
          <w:rFonts w:ascii="Futura Lt BT" w:hAnsi="Futura Lt BT"/>
        </w:rPr>
        <w:t xml:space="preserve"> </w:t>
      </w:r>
      <w:r w:rsidR="00364271">
        <w:rPr>
          <w:rFonts w:ascii="Futura Lt BT" w:hAnsi="Futura Lt BT"/>
        </w:rPr>
        <w:t>se ha reducido</w:t>
      </w:r>
      <w:r w:rsidR="00F560A6">
        <w:rPr>
          <w:rFonts w:ascii="Futura Lt BT" w:hAnsi="Futura Lt BT"/>
        </w:rPr>
        <w:t>,</w:t>
      </w:r>
      <w:r w:rsidR="00F647EE" w:rsidRPr="00F647EE">
        <w:rPr>
          <w:rFonts w:ascii="Futura Lt BT" w:hAnsi="Futura Lt BT"/>
        </w:rPr>
        <w:t xml:space="preserve"> </w:t>
      </w:r>
      <w:r w:rsidR="00F647EE">
        <w:rPr>
          <w:rFonts w:ascii="Futura Lt BT" w:hAnsi="Futura Lt BT"/>
        </w:rPr>
        <w:t xml:space="preserve">con disminución de las </w:t>
      </w:r>
      <w:r w:rsidR="00F647EE" w:rsidRPr="00F647EE">
        <w:rPr>
          <w:rFonts w:ascii="Futura Lt BT" w:hAnsi="Futura Lt BT"/>
        </w:rPr>
        <w:t xml:space="preserve">presiones en los precios de los alimentos y servicios </w:t>
      </w:r>
      <w:r w:rsidR="00F647EE" w:rsidRPr="00EF48B3">
        <w:rPr>
          <w:rFonts w:ascii="Futura Lt BT" w:hAnsi="Futura Lt BT"/>
        </w:rPr>
        <w:t>conexos</w:t>
      </w:r>
      <w:r w:rsidR="00912986">
        <w:rPr>
          <w:rFonts w:ascii="Futura Lt BT" w:hAnsi="Futura Lt BT"/>
        </w:rPr>
        <w:t>,</w:t>
      </w:r>
      <w:r w:rsidR="00912986" w:rsidRPr="00364271">
        <w:rPr>
          <w:rFonts w:ascii="Futura Lt BT" w:hAnsi="Futura Lt BT"/>
        </w:rPr>
        <w:t xml:space="preserve"> </w:t>
      </w:r>
      <w:r w:rsidR="004320F0">
        <w:rPr>
          <w:rFonts w:ascii="Futura Lt BT" w:hAnsi="Futura Lt BT"/>
        </w:rPr>
        <w:t>dirigiéndose</w:t>
      </w:r>
      <w:r w:rsidR="00912986" w:rsidRPr="00364271">
        <w:rPr>
          <w:rFonts w:ascii="Futura Lt BT" w:hAnsi="Futura Lt BT"/>
        </w:rPr>
        <w:t xml:space="preserve"> paulatinamente a la senda de estabilidad de precios</w:t>
      </w:r>
      <w:r w:rsidR="00F647EE" w:rsidRPr="00EF48B3">
        <w:rPr>
          <w:rFonts w:ascii="Futura Lt BT" w:hAnsi="Futura Lt BT"/>
        </w:rPr>
        <w:t>. A</w:t>
      </w:r>
      <w:r w:rsidR="00F647EE">
        <w:rPr>
          <w:rFonts w:ascii="Futura Lt BT" w:hAnsi="Futura Lt BT"/>
        </w:rPr>
        <w:t>simismo</w:t>
      </w:r>
      <w:r w:rsidR="005537BD" w:rsidRPr="005537BD">
        <w:rPr>
          <w:rFonts w:ascii="Futura Lt BT" w:hAnsi="Futura Lt BT"/>
        </w:rPr>
        <w:t xml:space="preserve">, </w:t>
      </w:r>
      <w:r w:rsidR="0099373F">
        <w:rPr>
          <w:rFonts w:ascii="Futura Lt BT" w:hAnsi="Futura Lt BT"/>
        </w:rPr>
        <w:t xml:space="preserve">continua el dinamismo de la intermediación financiera con los depósitos y </w:t>
      </w:r>
      <w:r w:rsidR="00BC3F95">
        <w:rPr>
          <w:rFonts w:ascii="Futura Lt BT" w:hAnsi="Futura Lt BT"/>
        </w:rPr>
        <w:t>el crédito crec</w:t>
      </w:r>
      <w:r w:rsidR="0099373F">
        <w:rPr>
          <w:rFonts w:ascii="Futura Lt BT" w:hAnsi="Futura Lt BT"/>
        </w:rPr>
        <w:t>iendo</w:t>
      </w:r>
      <w:r w:rsidR="00BC3F95">
        <w:rPr>
          <w:rFonts w:ascii="Futura Lt BT" w:hAnsi="Futura Lt BT"/>
        </w:rPr>
        <w:t>, el Gobierno genera espacios fiscales y</w:t>
      </w:r>
      <w:r w:rsidR="00663A65">
        <w:rPr>
          <w:rFonts w:ascii="Futura Lt BT" w:hAnsi="Futura Lt BT"/>
        </w:rPr>
        <w:t xml:space="preserve"> la cuenta corriente de la balanza de pagos refleja superávit, como resultado de la </w:t>
      </w:r>
      <w:r w:rsidR="00BC3F95">
        <w:rPr>
          <w:rFonts w:ascii="Futura Lt BT" w:hAnsi="Futura Lt BT"/>
        </w:rPr>
        <w:t>continuidad de</w:t>
      </w:r>
      <w:r w:rsidR="0000582E">
        <w:rPr>
          <w:rFonts w:ascii="Futura Lt BT" w:hAnsi="Futura Lt BT"/>
        </w:rPr>
        <w:t xml:space="preserve"> los</w:t>
      </w:r>
      <w:r w:rsidR="00BC3F95">
        <w:rPr>
          <w:rFonts w:ascii="Futura Lt BT" w:hAnsi="Futura Lt BT"/>
        </w:rPr>
        <w:t xml:space="preserve"> flujos de recursos</w:t>
      </w:r>
      <w:r w:rsidR="00663A65">
        <w:rPr>
          <w:rFonts w:ascii="Futura Lt BT" w:hAnsi="Futura Lt BT"/>
        </w:rPr>
        <w:t xml:space="preserve"> externos</w:t>
      </w:r>
      <w:r w:rsidR="00BC3F95">
        <w:rPr>
          <w:rFonts w:ascii="Futura Lt BT" w:hAnsi="Futura Lt BT"/>
        </w:rPr>
        <w:t>.</w:t>
      </w:r>
    </w:p>
    <w:p w:rsidR="00EF48B3" w:rsidRDefault="00CA30A9" w:rsidP="00EF48B3">
      <w:pPr>
        <w:spacing w:line="278" w:lineRule="auto"/>
        <w:jc w:val="both"/>
        <w:rPr>
          <w:rFonts w:ascii="Futura Lt BT" w:hAnsi="Futura Lt BT"/>
        </w:rPr>
      </w:pPr>
      <w:r>
        <w:rPr>
          <w:rFonts w:ascii="Futura Lt BT" w:hAnsi="Futura Lt BT"/>
        </w:rPr>
        <w:t>E</w:t>
      </w:r>
      <w:r w:rsidR="009471FF">
        <w:rPr>
          <w:rFonts w:ascii="Futura Lt BT" w:hAnsi="Futura Lt BT"/>
        </w:rPr>
        <w:t xml:space="preserve">n </w:t>
      </w:r>
      <w:r w:rsidR="00786F13" w:rsidRPr="00A75DAB">
        <w:rPr>
          <w:rFonts w:ascii="Futura Lt BT" w:hAnsi="Futura Lt BT"/>
        </w:rPr>
        <w:t>el entorno internacional</w:t>
      </w:r>
      <w:r>
        <w:rPr>
          <w:rFonts w:ascii="Futura Lt BT" w:hAnsi="Futura Lt BT"/>
        </w:rPr>
        <w:t xml:space="preserve">, persisten los riesgos asociados a </w:t>
      </w:r>
      <w:r w:rsidR="009471FF">
        <w:rPr>
          <w:rFonts w:ascii="Futura Lt BT" w:hAnsi="Futura Lt BT"/>
        </w:rPr>
        <w:t>los conflictos</w:t>
      </w:r>
      <w:r w:rsidR="00786F13">
        <w:rPr>
          <w:rFonts w:ascii="Futura Lt BT" w:hAnsi="Futura Lt BT"/>
        </w:rPr>
        <w:t xml:space="preserve"> geopolític</w:t>
      </w:r>
      <w:r w:rsidR="009471FF">
        <w:rPr>
          <w:rFonts w:ascii="Futura Lt BT" w:hAnsi="Futura Lt BT"/>
        </w:rPr>
        <w:t>os</w:t>
      </w:r>
      <w:r>
        <w:rPr>
          <w:rFonts w:ascii="Futura Lt BT" w:hAnsi="Futura Lt BT"/>
        </w:rPr>
        <w:t xml:space="preserve">, </w:t>
      </w:r>
      <w:r w:rsidRPr="00CA30A9">
        <w:rPr>
          <w:rFonts w:ascii="Futura Lt BT" w:hAnsi="Futura Lt BT"/>
        </w:rPr>
        <w:t>lo que pudiera incidir en la evolución de precios internacionales y en las perspectivas económicas a nivel mundial</w:t>
      </w:r>
      <w:r w:rsidR="00786F13">
        <w:rPr>
          <w:rFonts w:ascii="Futura Lt BT" w:hAnsi="Futura Lt BT"/>
        </w:rPr>
        <w:t xml:space="preserve">. </w:t>
      </w:r>
      <w:r w:rsidR="009471FF">
        <w:rPr>
          <w:rFonts w:ascii="Futura Lt BT" w:hAnsi="Futura Lt BT"/>
        </w:rPr>
        <w:t xml:space="preserve">A pesar de </w:t>
      </w:r>
      <w:r>
        <w:rPr>
          <w:rFonts w:ascii="Futura Lt BT" w:hAnsi="Futura Lt BT"/>
        </w:rPr>
        <w:t xml:space="preserve">ello, </w:t>
      </w:r>
      <w:r w:rsidR="00786F13">
        <w:rPr>
          <w:rFonts w:ascii="Futura Lt BT" w:hAnsi="Futura Lt BT"/>
        </w:rPr>
        <w:t xml:space="preserve">la economía nicaragüense se </w:t>
      </w:r>
      <w:r w:rsidR="0099373F">
        <w:rPr>
          <w:rFonts w:ascii="Futura Lt BT" w:hAnsi="Futura Lt BT"/>
        </w:rPr>
        <w:t xml:space="preserve">ha </w:t>
      </w:r>
      <w:r w:rsidR="003F0C88">
        <w:rPr>
          <w:rFonts w:ascii="Futura Lt BT" w:hAnsi="Futura Lt BT"/>
        </w:rPr>
        <w:t xml:space="preserve">consolidado </w:t>
      </w:r>
      <w:r w:rsidR="00786F13">
        <w:rPr>
          <w:rFonts w:ascii="Futura Lt BT" w:hAnsi="Futura Lt BT"/>
        </w:rPr>
        <w:t>en una trayectoria estable de crecimiento</w:t>
      </w:r>
      <w:r w:rsidR="003F0C88">
        <w:rPr>
          <w:rFonts w:ascii="Futura Lt BT" w:hAnsi="Futura Lt BT"/>
        </w:rPr>
        <w:t xml:space="preserve"> y presenta </w:t>
      </w:r>
      <w:r w:rsidR="00005720">
        <w:rPr>
          <w:rFonts w:ascii="Futura Lt BT" w:hAnsi="Futura Lt BT"/>
        </w:rPr>
        <w:t xml:space="preserve">fortalezas </w:t>
      </w:r>
      <w:r w:rsidR="00060E96">
        <w:rPr>
          <w:rFonts w:ascii="Futura Lt BT" w:hAnsi="Futura Lt BT"/>
        </w:rPr>
        <w:t>que se derivan de</w:t>
      </w:r>
      <w:r w:rsidR="00005720">
        <w:rPr>
          <w:rFonts w:ascii="Futura Lt BT" w:hAnsi="Futura Lt BT"/>
        </w:rPr>
        <w:t xml:space="preserve"> un marco de políticas </w:t>
      </w:r>
      <w:r w:rsidR="00786F13">
        <w:rPr>
          <w:rFonts w:ascii="Futura Lt BT" w:hAnsi="Futura Lt BT"/>
        </w:rPr>
        <w:t>macroeconómicas adecuadas</w:t>
      </w:r>
      <w:r w:rsidR="00F560A6">
        <w:rPr>
          <w:rFonts w:ascii="Futura Lt BT" w:hAnsi="Futura Lt BT"/>
        </w:rPr>
        <w:t>,</w:t>
      </w:r>
      <w:r w:rsidR="00060E96">
        <w:rPr>
          <w:rFonts w:ascii="Futura Lt BT" w:hAnsi="Futura Lt BT"/>
        </w:rPr>
        <w:t xml:space="preserve"> lo cual le permite estar mejor preparada para enfrentar choques adversos</w:t>
      </w:r>
      <w:r w:rsidR="00EF48B3">
        <w:rPr>
          <w:rFonts w:ascii="Futura Lt BT" w:hAnsi="Futura Lt BT"/>
        </w:rPr>
        <w:t xml:space="preserve">. </w:t>
      </w:r>
      <w:r w:rsidR="00EF48B3" w:rsidRPr="00264131">
        <w:rPr>
          <w:rFonts w:ascii="Futura Lt BT" w:hAnsi="Futura Lt BT"/>
        </w:rPr>
        <w:t>E</w:t>
      </w:r>
      <w:r w:rsidR="00805E6D" w:rsidRPr="00264131">
        <w:rPr>
          <w:rFonts w:ascii="Futura Lt BT" w:hAnsi="Futura Lt BT"/>
        </w:rPr>
        <w:t xml:space="preserve">sto se ha logrado gracias </w:t>
      </w:r>
      <w:r w:rsidR="008A1221">
        <w:rPr>
          <w:rFonts w:ascii="Futura Lt BT" w:hAnsi="Futura Lt BT"/>
        </w:rPr>
        <w:t xml:space="preserve">a </w:t>
      </w:r>
      <w:r w:rsidR="00F560A6" w:rsidRPr="00264131">
        <w:rPr>
          <w:rFonts w:ascii="Futura Lt BT" w:hAnsi="Futura Lt BT"/>
        </w:rPr>
        <w:t>la preservación de los fundamentos económicos y la implementación de acciones que propician el crecimiento sin costo social y sin generar desequilibrios ni excesivo endeudamiento</w:t>
      </w:r>
      <w:r w:rsidR="00F560A6">
        <w:rPr>
          <w:rFonts w:ascii="Futura Lt BT" w:hAnsi="Futura Lt BT"/>
        </w:rPr>
        <w:t>.</w:t>
      </w:r>
    </w:p>
    <w:p w:rsidR="00BF0989" w:rsidRDefault="00BF0989" w:rsidP="00786F13">
      <w:pPr>
        <w:spacing w:line="278" w:lineRule="auto"/>
        <w:jc w:val="both"/>
        <w:rPr>
          <w:rFonts w:ascii="Futura Lt BT" w:hAnsi="Futura Lt BT"/>
        </w:rPr>
      </w:pPr>
      <w:r w:rsidRPr="00BF0989">
        <w:rPr>
          <w:rFonts w:ascii="Futura Lt BT" w:hAnsi="Futura Lt BT"/>
        </w:rPr>
        <w:t>De acuerdo con el PIB al primer semestre, la economía creció 4.7</w:t>
      </w:r>
      <w:r w:rsidR="00264131">
        <w:rPr>
          <w:rFonts w:ascii="Futura Lt BT" w:hAnsi="Futura Lt BT"/>
        </w:rPr>
        <w:t xml:space="preserve"> por ciento</w:t>
      </w:r>
      <w:r w:rsidRPr="00BF0989">
        <w:rPr>
          <w:rFonts w:ascii="Futura Lt BT" w:hAnsi="Futura Lt BT"/>
        </w:rPr>
        <w:t>, impulsado por la demanda interna, debido al</w:t>
      </w:r>
      <w:r w:rsidR="00816A6F">
        <w:rPr>
          <w:rFonts w:ascii="Futura Lt BT" w:hAnsi="Futura Lt BT"/>
        </w:rPr>
        <w:t xml:space="preserve"> dinamismo </w:t>
      </w:r>
      <w:r w:rsidRPr="00BF0989">
        <w:rPr>
          <w:rFonts w:ascii="Futura Lt BT" w:hAnsi="Futura Lt BT"/>
        </w:rPr>
        <w:t xml:space="preserve">del consumo y de la inversión, lo que se vio atenuado por la disminución de la demanda externa neta. El crecimiento </w:t>
      </w:r>
      <w:r w:rsidR="00264131">
        <w:rPr>
          <w:rFonts w:ascii="Futura Lt BT" w:hAnsi="Futura Lt BT"/>
        </w:rPr>
        <w:t xml:space="preserve">acumulado </w:t>
      </w:r>
      <w:r w:rsidRPr="00BF0989">
        <w:rPr>
          <w:rFonts w:ascii="Futura Lt BT" w:hAnsi="Futura Lt BT"/>
        </w:rPr>
        <w:t xml:space="preserve">del IMAE </w:t>
      </w:r>
      <w:r w:rsidR="00264131">
        <w:rPr>
          <w:rFonts w:ascii="Futura Lt BT" w:hAnsi="Futura Lt BT"/>
        </w:rPr>
        <w:t>a</w:t>
      </w:r>
      <w:r w:rsidRPr="00BF0989">
        <w:rPr>
          <w:rFonts w:ascii="Futura Lt BT" w:hAnsi="Futura Lt BT"/>
        </w:rPr>
        <w:t xml:space="preserve"> julio de 2024 fue de </w:t>
      </w:r>
      <w:r w:rsidR="0033537C">
        <w:rPr>
          <w:rFonts w:ascii="Futura Lt BT" w:hAnsi="Futura Lt BT"/>
        </w:rPr>
        <w:t>4.4</w:t>
      </w:r>
      <w:r w:rsidR="002D20AB">
        <w:rPr>
          <w:rFonts w:ascii="Futura Lt BT" w:hAnsi="Futura Lt BT"/>
        </w:rPr>
        <w:t xml:space="preserve"> </w:t>
      </w:r>
      <w:r w:rsidRPr="00BF0989">
        <w:rPr>
          <w:rFonts w:ascii="Futura Lt BT" w:hAnsi="Futura Lt BT"/>
        </w:rPr>
        <w:t xml:space="preserve">por ciento interanual, destacándose el desempeño de los servicios y de actividades productivas como la industria manufacturera y la construcción. Así, las actividades con mayor crecimiento </w:t>
      </w:r>
      <w:r w:rsidR="00E92676">
        <w:rPr>
          <w:rFonts w:ascii="Futura Lt BT" w:hAnsi="Futura Lt BT"/>
        </w:rPr>
        <w:t xml:space="preserve">acumulado </w:t>
      </w:r>
      <w:r w:rsidRPr="00BF0989">
        <w:rPr>
          <w:rFonts w:ascii="Futura Lt BT" w:hAnsi="Futura Lt BT"/>
        </w:rPr>
        <w:t>fueron</w:t>
      </w:r>
      <w:r w:rsidR="00250D93">
        <w:rPr>
          <w:rFonts w:ascii="Futura Lt BT" w:hAnsi="Futura Lt BT"/>
        </w:rPr>
        <w:t xml:space="preserve"> </w:t>
      </w:r>
      <w:r w:rsidR="00250D93" w:rsidRPr="00250D93">
        <w:rPr>
          <w:rFonts w:ascii="Futura Lt BT" w:hAnsi="Futura Lt BT"/>
        </w:rPr>
        <w:t>hoteles y restaurantes,</w:t>
      </w:r>
      <w:r w:rsidR="00250D93">
        <w:rPr>
          <w:rFonts w:ascii="Futura Lt BT" w:hAnsi="Futura Lt BT"/>
        </w:rPr>
        <w:t xml:space="preserve"> </w:t>
      </w:r>
      <w:r w:rsidR="00250D93" w:rsidRPr="00250D93">
        <w:rPr>
          <w:rFonts w:ascii="Futura Lt BT" w:hAnsi="Futura Lt BT"/>
        </w:rPr>
        <w:t>energía y agua</w:t>
      </w:r>
      <w:r w:rsidR="00250D93">
        <w:rPr>
          <w:rFonts w:ascii="Futura Lt BT" w:hAnsi="Futura Lt BT"/>
        </w:rPr>
        <w:t xml:space="preserve">, </w:t>
      </w:r>
      <w:r w:rsidR="00250D93" w:rsidRPr="00250D93">
        <w:rPr>
          <w:rFonts w:ascii="Futura Lt BT" w:hAnsi="Futura Lt BT"/>
        </w:rPr>
        <w:t>minas y canteras</w:t>
      </w:r>
      <w:r w:rsidR="00250D93">
        <w:rPr>
          <w:rFonts w:ascii="Futura Lt BT" w:hAnsi="Futura Lt BT"/>
        </w:rPr>
        <w:t xml:space="preserve">, </w:t>
      </w:r>
      <w:r w:rsidR="00250D93" w:rsidRPr="00250D93">
        <w:rPr>
          <w:rFonts w:ascii="Futura Lt BT" w:hAnsi="Futura Lt BT"/>
        </w:rPr>
        <w:t>comercio, construcción,</w:t>
      </w:r>
      <w:r w:rsidR="00250D93">
        <w:rPr>
          <w:rFonts w:ascii="Futura Lt BT" w:hAnsi="Futura Lt BT"/>
        </w:rPr>
        <w:t xml:space="preserve"> intermediación financiera</w:t>
      </w:r>
      <w:r w:rsidR="00250D93" w:rsidRPr="00250D93">
        <w:rPr>
          <w:rFonts w:ascii="Futura Lt BT" w:hAnsi="Futura Lt BT"/>
        </w:rPr>
        <w:t>, y transporte y comunicaciones</w:t>
      </w:r>
      <w:r w:rsidR="00250D93">
        <w:rPr>
          <w:rFonts w:ascii="Futura Lt BT" w:hAnsi="Futura Lt BT"/>
        </w:rPr>
        <w:t xml:space="preserve">. </w:t>
      </w:r>
      <w:r w:rsidRPr="00BF0989">
        <w:rPr>
          <w:rFonts w:ascii="Futura Lt BT" w:hAnsi="Futura Lt BT"/>
        </w:rPr>
        <w:t>Mientras que, la</w:t>
      </w:r>
      <w:r w:rsidR="00250D93">
        <w:rPr>
          <w:rFonts w:ascii="Futura Lt BT" w:hAnsi="Futura Lt BT"/>
        </w:rPr>
        <w:t xml:space="preserve"> actividad de pesca y acuicultura registró disminución</w:t>
      </w:r>
      <w:r w:rsidRPr="00BF0989">
        <w:rPr>
          <w:rFonts w:ascii="Futura Lt BT" w:hAnsi="Futura Lt BT"/>
        </w:rPr>
        <w:t>.</w:t>
      </w:r>
    </w:p>
    <w:p w:rsidR="00250D93" w:rsidRDefault="00250D93" w:rsidP="00786F13">
      <w:pPr>
        <w:spacing w:line="278" w:lineRule="auto"/>
        <w:jc w:val="both"/>
        <w:rPr>
          <w:rFonts w:ascii="Futura Lt BT" w:hAnsi="Futura Lt BT"/>
        </w:rPr>
      </w:pPr>
      <w:r w:rsidRPr="00250D93">
        <w:rPr>
          <w:rFonts w:ascii="Futura Lt BT" w:hAnsi="Futura Lt BT"/>
        </w:rPr>
        <w:t xml:space="preserve">En línea con el desempeño de la actividad económica, la tasa de desempleo permanece baja (3% a agosto), acompañada de </w:t>
      </w:r>
      <w:r w:rsidR="00004D41">
        <w:rPr>
          <w:rFonts w:ascii="Futura Lt BT" w:hAnsi="Futura Lt BT"/>
        </w:rPr>
        <w:t>reducción en la tasa de subempleo, manteniéndose, no obstante, el reza</w:t>
      </w:r>
      <w:r w:rsidR="004F79FF">
        <w:rPr>
          <w:rFonts w:ascii="Futura Lt BT" w:hAnsi="Futura Lt BT"/>
        </w:rPr>
        <w:t>g</w:t>
      </w:r>
      <w:r w:rsidR="00004D41">
        <w:rPr>
          <w:rFonts w:ascii="Futura Lt BT" w:hAnsi="Futura Lt BT"/>
        </w:rPr>
        <w:t xml:space="preserve">o en la recuperación </w:t>
      </w:r>
      <w:r w:rsidR="004F79FF">
        <w:rPr>
          <w:rFonts w:ascii="Futura Lt BT" w:hAnsi="Futura Lt BT"/>
        </w:rPr>
        <w:t>de</w:t>
      </w:r>
      <w:r w:rsidRPr="00250D93">
        <w:rPr>
          <w:rFonts w:ascii="Futura Lt BT" w:hAnsi="Futura Lt BT"/>
        </w:rPr>
        <w:t xml:space="preserve"> la participación laboral</w:t>
      </w:r>
      <w:r w:rsidR="004F79FF">
        <w:rPr>
          <w:rFonts w:ascii="Futura Lt BT" w:hAnsi="Futura Lt BT"/>
        </w:rPr>
        <w:t xml:space="preserve">. </w:t>
      </w:r>
      <w:r w:rsidRPr="00250D93">
        <w:rPr>
          <w:rFonts w:ascii="Futura Lt BT" w:hAnsi="Futura Lt BT"/>
        </w:rPr>
        <w:t>Asimismo, a septiembre, se ha reflejado estabilidad en el empleo formal, con aumento interanual de 1.</w:t>
      </w:r>
      <w:r w:rsidR="002D20AB">
        <w:rPr>
          <w:rFonts w:ascii="Futura Lt BT" w:hAnsi="Futura Lt BT"/>
        </w:rPr>
        <w:t>1 por ciento</w:t>
      </w:r>
      <w:r w:rsidRPr="00250D93">
        <w:rPr>
          <w:rFonts w:ascii="Futura Lt BT" w:hAnsi="Futura Lt BT"/>
        </w:rPr>
        <w:t xml:space="preserve"> en la afiliación al Instituto Nicaragüense de Seguridad Social (INSS).</w:t>
      </w:r>
    </w:p>
    <w:p w:rsidR="00250D93" w:rsidRDefault="00250D93" w:rsidP="00786F13">
      <w:pPr>
        <w:spacing w:line="278" w:lineRule="auto"/>
        <w:jc w:val="both"/>
        <w:rPr>
          <w:rFonts w:ascii="Futura Lt BT" w:hAnsi="Futura Lt BT"/>
        </w:rPr>
      </w:pPr>
      <w:r w:rsidRPr="00250D93">
        <w:rPr>
          <w:rFonts w:ascii="Futura Lt BT" w:hAnsi="Futura Lt BT"/>
        </w:rPr>
        <w:t xml:space="preserve">La inflación doméstica continúa reduciéndose de manera gradual, ubicándose en 3.86 por ciento interanual en septiembre, </w:t>
      </w:r>
      <w:r>
        <w:rPr>
          <w:rFonts w:ascii="Futura Lt BT" w:hAnsi="Futura Lt BT"/>
        </w:rPr>
        <w:t xml:space="preserve">con una disminución de los efectos de la </w:t>
      </w:r>
      <w:r w:rsidRPr="00250D93">
        <w:rPr>
          <w:rFonts w:ascii="Futura Lt BT" w:hAnsi="Futura Lt BT"/>
        </w:rPr>
        <w:t xml:space="preserve">persistencia en los precios de los alimentos y servicios conexos. Las divisiones que más contribuyen a la inflación interanual son alimentos </w:t>
      </w:r>
      <w:r w:rsidRPr="00250D93">
        <w:rPr>
          <w:rFonts w:ascii="Futura Lt BT" w:hAnsi="Futura Lt BT"/>
        </w:rPr>
        <w:lastRenderedPageBreak/>
        <w:t xml:space="preserve">y bebidas, restaurantes y hoteles, bienes y servicios diversos, educación y muebles y artículos para el hogar. Se espera que la inflación continúe </w:t>
      </w:r>
      <w:r w:rsidR="00816A6F">
        <w:rPr>
          <w:rFonts w:ascii="Futura Lt BT" w:hAnsi="Futura Lt BT"/>
        </w:rPr>
        <w:t>reduciéndose</w:t>
      </w:r>
      <w:r w:rsidRPr="00250D93">
        <w:rPr>
          <w:rFonts w:ascii="Futura Lt BT" w:hAnsi="Futura Lt BT"/>
        </w:rPr>
        <w:t>, en línea con lo observado a nivel global, y consistente con una política monetaria y fiscal equilibrada.</w:t>
      </w:r>
    </w:p>
    <w:p w:rsidR="00ED5AA0" w:rsidRDefault="00E5738F" w:rsidP="00786F13">
      <w:pPr>
        <w:spacing w:line="278" w:lineRule="auto"/>
        <w:jc w:val="both"/>
        <w:rPr>
          <w:rFonts w:ascii="Futura Lt BT" w:hAnsi="Futura Lt BT"/>
        </w:rPr>
      </w:pPr>
      <w:r w:rsidRPr="00E5738F">
        <w:rPr>
          <w:rFonts w:ascii="Futura Lt BT" w:hAnsi="Futura Lt BT"/>
        </w:rPr>
        <w:t>En la balanza de pagos, se mantiene una dinámica favorable de flujos externos hacia la economía</w:t>
      </w:r>
      <w:r>
        <w:rPr>
          <w:rFonts w:ascii="Futura Lt BT" w:hAnsi="Futura Lt BT"/>
        </w:rPr>
        <w:t xml:space="preserve">, principalmente de remesas familiares y exportaciones de mercancías. En este sentido, el contexto de </w:t>
      </w:r>
      <w:r w:rsidR="004F79FF">
        <w:rPr>
          <w:rFonts w:ascii="Futura Lt BT" w:hAnsi="Futura Lt BT"/>
        </w:rPr>
        <w:t>favorables</w:t>
      </w:r>
      <w:r w:rsidRPr="00E5738F">
        <w:rPr>
          <w:rFonts w:ascii="Futura Lt BT" w:hAnsi="Futura Lt BT"/>
        </w:rPr>
        <w:t xml:space="preserve"> precios internacionales y la permanencia de una sólida base exportadora</w:t>
      </w:r>
      <w:r>
        <w:rPr>
          <w:rFonts w:ascii="Futura Lt BT" w:hAnsi="Futura Lt BT"/>
        </w:rPr>
        <w:t xml:space="preserve"> ha favorecido el dinamismo de las exportaciones de mercancías, n</w:t>
      </w:r>
      <w:r w:rsidRPr="00E5738F">
        <w:rPr>
          <w:rFonts w:ascii="Futura Lt BT" w:hAnsi="Futura Lt BT"/>
        </w:rPr>
        <w:t xml:space="preserve">o obstante, </w:t>
      </w:r>
      <w:r>
        <w:rPr>
          <w:rFonts w:ascii="Futura Lt BT" w:hAnsi="Futura Lt BT"/>
        </w:rPr>
        <w:t xml:space="preserve">se ha registrado una menor </w:t>
      </w:r>
      <w:r w:rsidRPr="00E5738F">
        <w:rPr>
          <w:rFonts w:ascii="Futura Lt BT" w:hAnsi="Futura Lt BT"/>
        </w:rPr>
        <w:t>demanda de exportaciones de zona franca.</w:t>
      </w:r>
      <w:r>
        <w:rPr>
          <w:rFonts w:ascii="Futura Lt BT" w:hAnsi="Futura Lt BT"/>
        </w:rPr>
        <w:t xml:space="preserve"> </w:t>
      </w:r>
      <w:r w:rsidR="003E0E80">
        <w:rPr>
          <w:rFonts w:ascii="Futura Lt BT" w:hAnsi="Futura Lt BT"/>
        </w:rPr>
        <w:t>A su vez, las</w:t>
      </w:r>
      <w:r w:rsidR="003E0E80" w:rsidRPr="000367DC">
        <w:rPr>
          <w:rFonts w:ascii="Futura Lt BT" w:hAnsi="Futura Lt BT"/>
        </w:rPr>
        <w:t xml:space="preserve"> importaciones </w:t>
      </w:r>
      <w:r w:rsidR="00F002DF">
        <w:rPr>
          <w:rFonts w:ascii="Futura Lt BT" w:hAnsi="Futura Lt BT"/>
        </w:rPr>
        <w:t>crecen</w:t>
      </w:r>
      <w:r w:rsidR="003E0E80">
        <w:rPr>
          <w:rFonts w:ascii="Futura Lt BT" w:hAnsi="Futura Lt BT"/>
        </w:rPr>
        <w:t xml:space="preserve">, </w:t>
      </w:r>
      <w:r w:rsidR="00F002DF">
        <w:rPr>
          <w:rFonts w:ascii="Futura Lt BT" w:hAnsi="Futura Lt BT"/>
        </w:rPr>
        <w:t>reflejando</w:t>
      </w:r>
      <w:r w:rsidR="003E0E80">
        <w:rPr>
          <w:rFonts w:ascii="Futura Lt BT" w:hAnsi="Futura Lt BT"/>
        </w:rPr>
        <w:t xml:space="preserve"> impulso al consumo y a la actividad productiva. También s</w:t>
      </w:r>
      <w:r w:rsidRPr="00E5738F">
        <w:rPr>
          <w:rFonts w:ascii="Futura Lt BT" w:hAnsi="Futura Lt BT"/>
        </w:rPr>
        <w:t>e destaca el crecimiento de las remesas familiares (11.9% en enero-agosto 2024)</w:t>
      </w:r>
      <w:r>
        <w:rPr>
          <w:rFonts w:ascii="Futura Lt BT" w:hAnsi="Futura Lt BT"/>
        </w:rPr>
        <w:t xml:space="preserve">, mientras que </w:t>
      </w:r>
      <w:r w:rsidRPr="00E5738F">
        <w:rPr>
          <w:rFonts w:ascii="Futura Lt BT" w:hAnsi="Futura Lt BT"/>
        </w:rPr>
        <w:t xml:space="preserve">se espera </w:t>
      </w:r>
      <w:r>
        <w:rPr>
          <w:rFonts w:ascii="Futura Lt BT" w:hAnsi="Futura Lt BT"/>
        </w:rPr>
        <w:t>la continuidad de</w:t>
      </w:r>
      <w:r w:rsidRPr="00E5738F">
        <w:rPr>
          <w:rFonts w:ascii="Futura Lt BT" w:hAnsi="Futura Lt BT"/>
        </w:rPr>
        <w:t xml:space="preserve"> flujos positivos de ingresos por </w:t>
      </w:r>
      <w:r>
        <w:rPr>
          <w:rFonts w:ascii="Futura Lt BT" w:hAnsi="Futura Lt BT"/>
        </w:rPr>
        <w:t>inversión extranjera directa (</w:t>
      </w:r>
      <w:r w:rsidRPr="00E5738F">
        <w:rPr>
          <w:rFonts w:ascii="Futura Lt BT" w:hAnsi="Futura Lt BT"/>
        </w:rPr>
        <w:t>IED</w:t>
      </w:r>
      <w:r>
        <w:rPr>
          <w:rFonts w:ascii="Futura Lt BT" w:hAnsi="Futura Lt BT"/>
        </w:rPr>
        <w:t>)</w:t>
      </w:r>
      <w:r w:rsidRPr="00E5738F">
        <w:rPr>
          <w:rFonts w:ascii="Futura Lt BT" w:hAnsi="Futura Lt BT"/>
        </w:rPr>
        <w:t xml:space="preserve"> y se consolide la recuperación de los ingresos por turismo.</w:t>
      </w:r>
    </w:p>
    <w:p w:rsidR="00786F13" w:rsidRDefault="00786F13" w:rsidP="003E0E80">
      <w:pPr>
        <w:spacing w:line="278" w:lineRule="auto"/>
        <w:jc w:val="both"/>
        <w:rPr>
          <w:rFonts w:ascii="Futura Lt BT" w:hAnsi="Futura Lt BT"/>
        </w:rPr>
      </w:pPr>
      <w:r w:rsidRPr="002C0F64">
        <w:rPr>
          <w:rFonts w:ascii="Futura Lt BT" w:hAnsi="Futura Lt BT"/>
        </w:rPr>
        <w:t>Los balances del sector público</w:t>
      </w:r>
      <w:r w:rsidRPr="008F3601">
        <w:rPr>
          <w:rFonts w:ascii="Futura Lt BT" w:hAnsi="Futura Lt BT"/>
        </w:rPr>
        <w:t xml:space="preserve"> se mantienen equilibrados, </w:t>
      </w:r>
      <w:r>
        <w:rPr>
          <w:rFonts w:ascii="Futura Lt BT" w:hAnsi="Futura Lt BT"/>
        </w:rPr>
        <w:t>con crecimiento de</w:t>
      </w:r>
      <w:r w:rsidRPr="008F3601">
        <w:rPr>
          <w:rFonts w:ascii="Futura Lt BT" w:hAnsi="Futura Lt BT"/>
        </w:rPr>
        <w:t xml:space="preserve"> los</w:t>
      </w:r>
      <w:r w:rsidRPr="00EA6AC7">
        <w:rPr>
          <w:rFonts w:ascii="Futura Lt BT" w:hAnsi="Futura Lt BT"/>
        </w:rPr>
        <w:t xml:space="preserve"> ingresos </w:t>
      </w:r>
      <w:r>
        <w:rPr>
          <w:rFonts w:ascii="Futura Lt BT" w:hAnsi="Futura Lt BT"/>
        </w:rPr>
        <w:t>tributarios</w:t>
      </w:r>
      <w:r w:rsidR="00730CF8">
        <w:rPr>
          <w:rFonts w:ascii="Futura Lt BT" w:hAnsi="Futura Lt BT"/>
        </w:rPr>
        <w:t xml:space="preserve"> (</w:t>
      </w:r>
      <w:r w:rsidR="002E1506" w:rsidRPr="002E1506">
        <w:rPr>
          <w:rFonts w:ascii="Futura Lt BT" w:hAnsi="Futura Lt BT"/>
        </w:rPr>
        <w:t>17.3% interanual en enero-julio 2024</w:t>
      </w:r>
      <w:r w:rsidR="00730CF8">
        <w:rPr>
          <w:rFonts w:ascii="Futura Lt BT" w:hAnsi="Futura Lt BT"/>
        </w:rPr>
        <w:t>)</w:t>
      </w:r>
      <w:r w:rsidR="00FE5980">
        <w:rPr>
          <w:rFonts w:ascii="Futura Lt BT" w:hAnsi="Futura Lt BT"/>
        </w:rPr>
        <w:t xml:space="preserve"> y una política </w:t>
      </w:r>
      <w:r w:rsidR="00D60C8A">
        <w:rPr>
          <w:rFonts w:ascii="Futura Lt BT" w:hAnsi="Futura Lt BT"/>
        </w:rPr>
        <w:t>de moderación y focalización del</w:t>
      </w:r>
      <w:r>
        <w:rPr>
          <w:rFonts w:ascii="Futura Lt BT" w:hAnsi="Futura Lt BT"/>
        </w:rPr>
        <w:t xml:space="preserve"> gasto </w:t>
      </w:r>
      <w:r w:rsidR="00FE5980">
        <w:rPr>
          <w:rFonts w:ascii="Futura Lt BT" w:hAnsi="Futura Lt BT"/>
        </w:rPr>
        <w:t xml:space="preserve">público. </w:t>
      </w:r>
      <w:r w:rsidR="00D60C8A">
        <w:rPr>
          <w:rFonts w:ascii="Futura Lt BT" w:hAnsi="Futura Lt BT"/>
        </w:rPr>
        <w:t xml:space="preserve">En este sentido, </w:t>
      </w:r>
      <w:r w:rsidRPr="00552F3B">
        <w:rPr>
          <w:rFonts w:ascii="Futura Lt BT" w:hAnsi="Futura Lt BT"/>
        </w:rPr>
        <w:t>el resultado del Sector Público No Financiero (SPNF) reflej</w:t>
      </w:r>
      <w:r w:rsidR="003E0E80">
        <w:rPr>
          <w:rFonts w:ascii="Futura Lt BT" w:hAnsi="Futura Lt BT"/>
        </w:rPr>
        <w:t>a</w:t>
      </w:r>
      <w:r w:rsidRPr="00552F3B">
        <w:rPr>
          <w:rFonts w:ascii="Futura Lt BT" w:hAnsi="Futura Lt BT"/>
        </w:rPr>
        <w:t xml:space="preserve"> superávit (</w:t>
      </w:r>
      <w:r w:rsidRPr="00CD1747">
        <w:rPr>
          <w:rFonts w:ascii="Futura Lt BT" w:hAnsi="Futura Lt BT"/>
        </w:rPr>
        <w:t>después de donaciones)</w:t>
      </w:r>
      <w:r w:rsidR="003E0E80">
        <w:rPr>
          <w:rFonts w:ascii="Futura Lt BT" w:hAnsi="Futura Lt BT"/>
        </w:rPr>
        <w:t xml:space="preserve"> en el acumulado enero-julio de 2024</w:t>
      </w:r>
      <w:r w:rsidRPr="00CD1747">
        <w:rPr>
          <w:rFonts w:ascii="Futura Lt BT" w:hAnsi="Futura Lt BT"/>
        </w:rPr>
        <w:t>.</w:t>
      </w:r>
      <w:r w:rsidR="00593F43" w:rsidRPr="00CD1747">
        <w:rPr>
          <w:rFonts w:ascii="Futura Lt BT" w:hAnsi="Futura Lt BT"/>
        </w:rPr>
        <w:t xml:space="preserve"> Así mismo, se ha mantenido un financiamiento apropiado, tanto de fuentes externas como de internas</w:t>
      </w:r>
      <w:r w:rsidR="00707B86">
        <w:rPr>
          <w:rFonts w:ascii="Futura Lt BT" w:hAnsi="Futura Lt BT"/>
        </w:rPr>
        <w:t xml:space="preserve">, </w:t>
      </w:r>
      <w:r w:rsidR="003E0E80">
        <w:rPr>
          <w:rFonts w:ascii="Futura Lt BT" w:hAnsi="Futura Lt BT"/>
        </w:rPr>
        <w:t xml:space="preserve">contexto en el cual </w:t>
      </w:r>
      <w:r w:rsidR="003E0E80" w:rsidRPr="003E0E80">
        <w:rPr>
          <w:rFonts w:ascii="Futura Lt BT" w:hAnsi="Futura Lt BT"/>
        </w:rPr>
        <w:t>la deuda pública a PIB ha</w:t>
      </w:r>
      <w:r w:rsidR="003E0E80">
        <w:rPr>
          <w:rFonts w:ascii="Futura Lt BT" w:hAnsi="Futura Lt BT"/>
        </w:rPr>
        <w:t xml:space="preserve"> </w:t>
      </w:r>
      <w:r w:rsidR="003E0E80" w:rsidRPr="003E0E80">
        <w:rPr>
          <w:rFonts w:ascii="Futura Lt BT" w:hAnsi="Futura Lt BT"/>
        </w:rPr>
        <w:t xml:space="preserve">disminuido, </w:t>
      </w:r>
      <w:r w:rsidR="003E0E80" w:rsidRPr="00F002DF">
        <w:rPr>
          <w:rFonts w:ascii="Futura Lt BT" w:hAnsi="Futura Lt BT"/>
        </w:rPr>
        <w:t>ubicándose en 55.7 por</w:t>
      </w:r>
      <w:r w:rsidR="003E0E80" w:rsidRPr="003E0E80">
        <w:rPr>
          <w:rFonts w:ascii="Futura Lt BT" w:hAnsi="Futura Lt BT"/>
        </w:rPr>
        <w:t xml:space="preserve"> ciento al mes de junio</w:t>
      </w:r>
      <w:r w:rsidR="00730CF8">
        <w:rPr>
          <w:rFonts w:ascii="Futura Lt BT" w:hAnsi="Futura Lt BT"/>
        </w:rPr>
        <w:t xml:space="preserve"> (</w:t>
      </w:r>
      <w:r w:rsidR="002E1506">
        <w:rPr>
          <w:rFonts w:ascii="Futura Lt BT" w:hAnsi="Futura Lt BT"/>
        </w:rPr>
        <w:t>56.6</w:t>
      </w:r>
      <w:r w:rsidR="00730CF8">
        <w:rPr>
          <w:rFonts w:ascii="Futura Lt BT" w:hAnsi="Futura Lt BT"/>
        </w:rPr>
        <w:t>% del PIB a diciembre 2023)</w:t>
      </w:r>
      <w:r w:rsidR="003E0E80" w:rsidRPr="003E0E80">
        <w:rPr>
          <w:rFonts w:ascii="Futura Lt BT" w:hAnsi="Futura Lt BT"/>
        </w:rPr>
        <w:t>.</w:t>
      </w:r>
    </w:p>
    <w:p w:rsidR="00001CDA" w:rsidRDefault="00001CDA" w:rsidP="00001CDA">
      <w:pPr>
        <w:spacing w:line="278" w:lineRule="auto"/>
        <w:jc w:val="both"/>
        <w:rPr>
          <w:rFonts w:ascii="Futura Lt BT" w:hAnsi="Futura Lt BT"/>
        </w:rPr>
      </w:pPr>
      <w:r>
        <w:rPr>
          <w:rFonts w:ascii="Futura Lt BT" w:hAnsi="Futura Lt BT"/>
        </w:rPr>
        <w:t xml:space="preserve">El proceso de </w:t>
      </w:r>
      <w:r w:rsidRPr="00523573">
        <w:rPr>
          <w:rFonts w:ascii="Futura Lt BT" w:hAnsi="Futura Lt BT"/>
        </w:rPr>
        <w:t>intermediación financier</w:t>
      </w:r>
      <w:r>
        <w:rPr>
          <w:rFonts w:ascii="Futura Lt BT" w:hAnsi="Futura Lt BT"/>
        </w:rPr>
        <w:t>a se ha consolidado</w:t>
      </w:r>
      <w:r w:rsidRPr="00523573">
        <w:rPr>
          <w:rFonts w:ascii="Futura Lt BT" w:hAnsi="Futura Lt BT"/>
        </w:rPr>
        <w:t>, destacándo</w:t>
      </w:r>
      <w:r>
        <w:rPr>
          <w:rFonts w:ascii="Futura Lt BT" w:hAnsi="Futura Lt BT"/>
        </w:rPr>
        <w:t>se</w:t>
      </w:r>
      <w:r w:rsidRPr="00523573">
        <w:rPr>
          <w:rFonts w:ascii="Futura Lt BT" w:hAnsi="Futura Lt BT"/>
        </w:rPr>
        <w:t xml:space="preserve"> </w:t>
      </w:r>
      <w:r>
        <w:rPr>
          <w:rFonts w:ascii="Futura Lt BT" w:hAnsi="Futura Lt BT"/>
        </w:rPr>
        <w:t xml:space="preserve">el </w:t>
      </w:r>
      <w:r w:rsidRPr="000F79FD">
        <w:rPr>
          <w:rFonts w:ascii="Futura Lt BT" w:hAnsi="Futura Lt BT"/>
        </w:rPr>
        <w:t>incremento en el desempeño de la actividad crediticia, apalancad</w:t>
      </w:r>
      <w:r>
        <w:rPr>
          <w:rFonts w:ascii="Futura Lt BT" w:hAnsi="Futura Lt BT"/>
        </w:rPr>
        <w:t>a</w:t>
      </w:r>
      <w:r w:rsidRPr="000F79FD">
        <w:rPr>
          <w:rFonts w:ascii="Futura Lt BT" w:hAnsi="Futura Lt BT"/>
        </w:rPr>
        <w:t xml:space="preserve"> en el crecimiento de los depósitos de</w:t>
      </w:r>
      <w:r>
        <w:rPr>
          <w:rFonts w:ascii="Futura Lt BT" w:hAnsi="Futura Lt BT"/>
        </w:rPr>
        <w:t xml:space="preserve">l público, ambos registrando </w:t>
      </w:r>
      <w:r w:rsidRPr="00523573">
        <w:rPr>
          <w:rFonts w:ascii="Futura Lt BT" w:hAnsi="Futura Lt BT"/>
        </w:rPr>
        <w:t>variaciones interanuales de dos dígitos</w:t>
      </w:r>
      <w:r>
        <w:rPr>
          <w:rFonts w:ascii="Futura Lt BT" w:hAnsi="Futura Lt BT"/>
        </w:rPr>
        <w:t xml:space="preserve">. </w:t>
      </w:r>
      <w:r w:rsidRPr="00E160EE">
        <w:rPr>
          <w:rFonts w:ascii="Futura Lt BT" w:hAnsi="Futura Lt BT"/>
        </w:rPr>
        <w:t xml:space="preserve">Así mismo, se continuó observando </w:t>
      </w:r>
      <w:r w:rsidR="00E9044A">
        <w:rPr>
          <w:rFonts w:ascii="Futura Lt BT" w:hAnsi="Futura Lt BT"/>
        </w:rPr>
        <w:t xml:space="preserve">niveles adecuados </w:t>
      </w:r>
      <w:r w:rsidRPr="00E160EE">
        <w:rPr>
          <w:rFonts w:ascii="Futura Lt BT" w:hAnsi="Futura Lt BT"/>
        </w:rPr>
        <w:t xml:space="preserve">en la calidad del crédito y en la rentabilidad. </w:t>
      </w:r>
      <w:r w:rsidRPr="00523573">
        <w:rPr>
          <w:rFonts w:ascii="Futura Lt BT" w:hAnsi="Futura Lt BT"/>
        </w:rPr>
        <w:t>La estabilidad financiera observada ha sido propiciada por el dinamismo de la actividad económica, que ha incidido positivamente sobre las expectativas de los agentes económicos y la capacidad de pago de los hogares y de las empresas. Adicionalmente, los indicadores de liquidez y de solvencia</w:t>
      </w:r>
      <w:r>
        <w:rPr>
          <w:rFonts w:ascii="Futura Lt BT" w:hAnsi="Futura Lt BT"/>
        </w:rPr>
        <w:t xml:space="preserve"> </w:t>
      </w:r>
      <w:r w:rsidR="00BB4043">
        <w:rPr>
          <w:rFonts w:ascii="Futura Lt BT" w:hAnsi="Futura Lt BT"/>
        </w:rPr>
        <w:t xml:space="preserve">del sistema bancario y financieras </w:t>
      </w:r>
      <w:r>
        <w:rPr>
          <w:rFonts w:ascii="Futura Lt BT" w:hAnsi="Futura Lt BT"/>
        </w:rPr>
        <w:t>se mantienen por encima de lo requerido</w:t>
      </w:r>
      <w:r w:rsidRPr="00523573">
        <w:rPr>
          <w:rFonts w:ascii="Futura Lt BT" w:hAnsi="Futura Lt BT"/>
        </w:rPr>
        <w:t>.</w:t>
      </w:r>
    </w:p>
    <w:bookmarkEnd w:id="1"/>
    <w:p w:rsidR="00061A14" w:rsidRDefault="00061A14" w:rsidP="00061A14">
      <w:pPr>
        <w:spacing w:line="278" w:lineRule="auto"/>
        <w:jc w:val="both"/>
        <w:rPr>
          <w:rFonts w:ascii="Futura Lt BT" w:hAnsi="Futura Lt BT"/>
        </w:rPr>
      </w:pPr>
      <w:r w:rsidRPr="00097935">
        <w:rPr>
          <w:rFonts w:ascii="Futura Lt BT" w:hAnsi="Futura Lt BT"/>
        </w:rPr>
        <w:t>En este contexto de desempeño</w:t>
      </w:r>
      <w:r>
        <w:rPr>
          <w:rFonts w:ascii="Futura Lt BT" w:hAnsi="Futura Lt BT"/>
        </w:rPr>
        <w:t xml:space="preserve"> favorable de la economía, </w:t>
      </w:r>
      <w:r w:rsidRPr="00A61B1D">
        <w:rPr>
          <w:rFonts w:ascii="Futura Lt BT" w:hAnsi="Futura Lt BT"/>
        </w:rPr>
        <w:t xml:space="preserve">la política monetaria y </w:t>
      </w:r>
      <w:r w:rsidRPr="002E1506">
        <w:rPr>
          <w:rFonts w:ascii="Futura Lt BT" w:hAnsi="Futura Lt BT"/>
        </w:rPr>
        <w:t xml:space="preserve">cambiaria del </w:t>
      </w:r>
      <w:r w:rsidR="002E1506" w:rsidRPr="002E1506">
        <w:rPr>
          <w:rFonts w:ascii="Futura Lt BT" w:hAnsi="Futura Lt BT"/>
        </w:rPr>
        <w:t>BCN</w:t>
      </w:r>
      <w:r w:rsidRPr="002E1506">
        <w:rPr>
          <w:rFonts w:ascii="Futura Lt BT" w:hAnsi="Futura Lt BT"/>
        </w:rPr>
        <w:t xml:space="preserve"> </w:t>
      </w:r>
      <w:r>
        <w:rPr>
          <w:rFonts w:ascii="Futura Lt BT" w:hAnsi="Futura Lt BT"/>
        </w:rPr>
        <w:t xml:space="preserve">sigue velando por la estabilidad de la moneda y </w:t>
      </w:r>
      <w:r w:rsidRPr="00A61B1D">
        <w:rPr>
          <w:rFonts w:ascii="Futura Lt BT" w:hAnsi="Futura Lt BT"/>
        </w:rPr>
        <w:t>propici</w:t>
      </w:r>
      <w:r>
        <w:rPr>
          <w:rFonts w:ascii="Futura Lt BT" w:hAnsi="Futura Lt BT"/>
        </w:rPr>
        <w:t>ando</w:t>
      </w:r>
      <w:r w:rsidRPr="00A61B1D">
        <w:rPr>
          <w:rFonts w:ascii="Futura Lt BT" w:hAnsi="Futura Lt BT"/>
        </w:rPr>
        <w:t xml:space="preserve"> condiciones financieras apropiadas para impulsar </w:t>
      </w:r>
      <w:r>
        <w:rPr>
          <w:rFonts w:ascii="Futura Lt BT" w:hAnsi="Futura Lt BT"/>
        </w:rPr>
        <w:t>el</w:t>
      </w:r>
      <w:r w:rsidRPr="00A61B1D">
        <w:rPr>
          <w:rFonts w:ascii="Futura Lt BT" w:hAnsi="Futura Lt BT"/>
        </w:rPr>
        <w:t xml:space="preserve"> crecimiento económico</w:t>
      </w:r>
      <w:r>
        <w:rPr>
          <w:rFonts w:ascii="Futura Lt BT" w:hAnsi="Futura Lt BT"/>
        </w:rPr>
        <w:t xml:space="preserve"> y</w:t>
      </w:r>
      <w:r w:rsidRPr="00A61B1D">
        <w:rPr>
          <w:rFonts w:ascii="Futura Lt BT" w:hAnsi="Futura Lt BT"/>
        </w:rPr>
        <w:t xml:space="preserve"> </w:t>
      </w:r>
      <w:r>
        <w:rPr>
          <w:rFonts w:ascii="Futura Lt BT" w:hAnsi="Futura Lt BT"/>
        </w:rPr>
        <w:t xml:space="preserve">la </w:t>
      </w:r>
      <w:r w:rsidRPr="00A61B1D">
        <w:rPr>
          <w:rFonts w:ascii="Futura Lt BT" w:hAnsi="Futura Lt BT"/>
        </w:rPr>
        <w:t>intermediación financiera. A</w:t>
      </w:r>
      <w:r>
        <w:rPr>
          <w:rFonts w:ascii="Futura Lt BT" w:hAnsi="Futura Lt BT"/>
        </w:rPr>
        <w:t>sí</w:t>
      </w:r>
      <w:r w:rsidRPr="00A61B1D">
        <w:rPr>
          <w:rFonts w:ascii="Futura Lt BT" w:hAnsi="Futura Lt BT"/>
        </w:rPr>
        <w:t>,</w:t>
      </w:r>
      <w:r>
        <w:rPr>
          <w:rFonts w:ascii="Futura Lt BT" w:hAnsi="Futura Lt BT"/>
        </w:rPr>
        <w:t xml:space="preserve"> a partir de enero 2024 </w:t>
      </w:r>
      <w:r w:rsidR="00730CF8">
        <w:rPr>
          <w:rFonts w:ascii="Futura Lt BT" w:hAnsi="Futura Lt BT"/>
        </w:rPr>
        <w:t xml:space="preserve">se </w:t>
      </w:r>
      <w:r>
        <w:rPr>
          <w:rFonts w:ascii="Futura Lt BT" w:hAnsi="Futura Lt BT"/>
        </w:rPr>
        <w:t xml:space="preserve">estableció la </w:t>
      </w:r>
      <w:r w:rsidRPr="0040091B">
        <w:rPr>
          <w:rFonts w:ascii="Futura Lt BT" w:hAnsi="Futura Lt BT"/>
        </w:rPr>
        <w:t xml:space="preserve">tasa de deslizamiento del tipo de cambio del </w:t>
      </w:r>
      <w:r w:rsidR="00B632C4">
        <w:rPr>
          <w:rFonts w:ascii="Futura Lt BT" w:hAnsi="Futura Lt BT"/>
        </w:rPr>
        <w:t>c</w:t>
      </w:r>
      <w:r w:rsidRPr="0040091B">
        <w:rPr>
          <w:rFonts w:ascii="Futura Lt BT" w:hAnsi="Futura Lt BT"/>
        </w:rPr>
        <w:t xml:space="preserve">órdoba con respecto al </w:t>
      </w:r>
      <w:r w:rsidR="00B632C4">
        <w:rPr>
          <w:rFonts w:ascii="Futura Lt BT" w:hAnsi="Futura Lt BT"/>
        </w:rPr>
        <w:t>d</w:t>
      </w:r>
      <w:r w:rsidRPr="0040091B">
        <w:rPr>
          <w:rFonts w:ascii="Futura Lt BT" w:hAnsi="Futura Lt BT"/>
        </w:rPr>
        <w:t>ólar de los Estados Unidos de América en cero por ciento anual</w:t>
      </w:r>
      <w:r>
        <w:rPr>
          <w:rFonts w:ascii="Futura Lt BT" w:hAnsi="Futura Lt BT"/>
        </w:rPr>
        <w:t xml:space="preserve">, y </w:t>
      </w:r>
      <w:r w:rsidR="00DC6DB1">
        <w:rPr>
          <w:rFonts w:ascii="Futura Lt BT" w:hAnsi="Futura Lt BT"/>
        </w:rPr>
        <w:t>en octubre</w:t>
      </w:r>
      <w:r w:rsidR="00E9044A">
        <w:rPr>
          <w:rFonts w:ascii="Futura Lt BT" w:hAnsi="Futura Lt BT"/>
        </w:rPr>
        <w:t xml:space="preserve">, </w:t>
      </w:r>
      <w:r w:rsidR="00730CF8">
        <w:rPr>
          <w:rFonts w:ascii="Futura Lt BT" w:hAnsi="Futura Lt BT"/>
        </w:rPr>
        <w:t xml:space="preserve">se </w:t>
      </w:r>
      <w:r w:rsidR="00DC6DB1">
        <w:rPr>
          <w:rFonts w:ascii="Futura Lt BT" w:hAnsi="Futura Lt BT"/>
        </w:rPr>
        <w:t>redu</w:t>
      </w:r>
      <w:r w:rsidR="00730CF8">
        <w:rPr>
          <w:rFonts w:ascii="Futura Lt BT" w:hAnsi="Futura Lt BT"/>
        </w:rPr>
        <w:t>jo</w:t>
      </w:r>
      <w:r w:rsidR="00DC6DB1">
        <w:rPr>
          <w:rFonts w:ascii="Futura Lt BT" w:hAnsi="Futura Lt BT"/>
        </w:rPr>
        <w:t xml:space="preserve"> en 25 puntos básicos </w:t>
      </w:r>
      <w:r w:rsidR="00730CF8">
        <w:rPr>
          <w:rFonts w:ascii="Futura Lt BT" w:hAnsi="Futura Lt BT"/>
        </w:rPr>
        <w:t>la</w:t>
      </w:r>
      <w:r w:rsidRPr="00A61B1D">
        <w:rPr>
          <w:rFonts w:ascii="Futura Lt BT" w:hAnsi="Futura Lt BT"/>
        </w:rPr>
        <w:t xml:space="preserve"> Tasa de Referencia Monetaria (TRM)</w:t>
      </w:r>
      <w:r w:rsidR="00DC6DB1">
        <w:rPr>
          <w:rFonts w:ascii="Futura Lt BT" w:hAnsi="Futura Lt BT"/>
        </w:rPr>
        <w:t>, situándose</w:t>
      </w:r>
      <w:r>
        <w:rPr>
          <w:rFonts w:ascii="Futura Lt BT" w:hAnsi="Futura Lt BT"/>
        </w:rPr>
        <w:t xml:space="preserve"> en </w:t>
      </w:r>
      <w:r w:rsidR="00DC6DB1">
        <w:rPr>
          <w:rFonts w:ascii="Futura Lt BT" w:hAnsi="Futura Lt BT"/>
        </w:rPr>
        <w:t>6.75</w:t>
      </w:r>
      <w:r w:rsidRPr="00A61B1D">
        <w:rPr>
          <w:rFonts w:ascii="Futura Lt BT" w:hAnsi="Futura Lt BT"/>
        </w:rPr>
        <w:t xml:space="preserve"> por ciento. </w:t>
      </w:r>
      <w:r>
        <w:rPr>
          <w:rFonts w:ascii="Futura Lt BT" w:hAnsi="Futura Lt BT"/>
        </w:rPr>
        <w:t xml:space="preserve">A su vez, </w:t>
      </w:r>
      <w:r w:rsidRPr="00A61B1D">
        <w:rPr>
          <w:rFonts w:ascii="Futura Lt BT" w:hAnsi="Futura Lt BT"/>
        </w:rPr>
        <w:t xml:space="preserve">las principales variables monetarias </w:t>
      </w:r>
      <w:r>
        <w:rPr>
          <w:rFonts w:ascii="Futura Lt BT" w:hAnsi="Futura Lt BT"/>
        </w:rPr>
        <w:t xml:space="preserve">continúan reflejando </w:t>
      </w:r>
      <w:r w:rsidRPr="00A61B1D">
        <w:rPr>
          <w:rFonts w:ascii="Futura Lt BT" w:hAnsi="Futura Lt BT"/>
        </w:rPr>
        <w:t>un comportamiento positivo</w:t>
      </w:r>
      <w:r>
        <w:rPr>
          <w:rFonts w:ascii="Futura Lt BT" w:hAnsi="Futura Lt BT"/>
        </w:rPr>
        <w:t xml:space="preserve">, con el numerario y </w:t>
      </w:r>
      <w:r w:rsidRPr="000F2B12">
        <w:rPr>
          <w:rFonts w:ascii="Futura Lt BT" w:hAnsi="Futura Lt BT"/>
        </w:rPr>
        <w:t>los agregados monetarios creci</w:t>
      </w:r>
      <w:r>
        <w:rPr>
          <w:rFonts w:ascii="Futura Lt BT" w:hAnsi="Futura Lt BT"/>
        </w:rPr>
        <w:t>endo a tasas interanuales</w:t>
      </w:r>
      <w:r w:rsidRPr="000F2B12">
        <w:rPr>
          <w:rFonts w:ascii="Futura Lt BT" w:hAnsi="Futura Lt BT"/>
        </w:rPr>
        <w:t xml:space="preserve"> </w:t>
      </w:r>
      <w:r>
        <w:rPr>
          <w:rFonts w:ascii="Futura Lt BT" w:hAnsi="Futura Lt BT"/>
        </w:rPr>
        <w:t>de dos dígitos,</w:t>
      </w:r>
      <w:r w:rsidRPr="000F2B12">
        <w:rPr>
          <w:rFonts w:ascii="Futura Lt BT" w:hAnsi="Futura Lt BT"/>
        </w:rPr>
        <w:t xml:space="preserve"> </w:t>
      </w:r>
      <w:r>
        <w:rPr>
          <w:rFonts w:ascii="Futura Lt BT" w:hAnsi="Futura Lt BT"/>
        </w:rPr>
        <w:t xml:space="preserve">y se destaca el mayor uso de instrumentos monetarios </w:t>
      </w:r>
      <w:r w:rsidR="00097935">
        <w:rPr>
          <w:rFonts w:ascii="Futura Lt BT" w:hAnsi="Futura Lt BT"/>
        </w:rPr>
        <w:t xml:space="preserve">del BCN </w:t>
      </w:r>
      <w:r>
        <w:rPr>
          <w:rFonts w:ascii="Futura Lt BT" w:hAnsi="Futura Lt BT"/>
        </w:rPr>
        <w:t>en moneda nacional por parte del sistema financiero.</w:t>
      </w:r>
    </w:p>
    <w:p w:rsidR="00061A14" w:rsidRDefault="00061A14" w:rsidP="00061A14">
      <w:pPr>
        <w:spacing w:line="278" w:lineRule="auto"/>
        <w:jc w:val="both"/>
        <w:rPr>
          <w:rFonts w:ascii="Futura Lt BT" w:hAnsi="Futura Lt BT"/>
        </w:rPr>
      </w:pPr>
      <w:r w:rsidRPr="00523573">
        <w:rPr>
          <w:rFonts w:ascii="Futura Lt BT" w:hAnsi="Futura Lt BT" w:cs="Times New Roman"/>
        </w:rPr>
        <w:t xml:space="preserve">El mercado cambiario continuó reflejando dinamismo y estabilidad </w:t>
      </w:r>
      <w:r w:rsidRPr="00BF48C4">
        <w:rPr>
          <w:rFonts w:ascii="Futura Lt BT" w:hAnsi="Futura Lt BT" w:cs="Times New Roman"/>
        </w:rPr>
        <w:t xml:space="preserve">a </w:t>
      </w:r>
      <w:r w:rsidR="00DC6DB1">
        <w:rPr>
          <w:rFonts w:ascii="Futura Lt BT" w:hAnsi="Futura Lt BT" w:cs="Times New Roman"/>
        </w:rPr>
        <w:t>septiembre</w:t>
      </w:r>
      <w:r w:rsidRPr="00BF48C4">
        <w:rPr>
          <w:rFonts w:ascii="Futura Lt BT" w:hAnsi="Futura Lt BT" w:cs="Times New Roman"/>
        </w:rPr>
        <w:t>,</w:t>
      </w:r>
      <w:r w:rsidRPr="00523573">
        <w:rPr>
          <w:rFonts w:ascii="Futura Lt BT" w:hAnsi="Futura Lt BT" w:cs="Times New Roman"/>
        </w:rPr>
        <w:t xml:space="preserve"> en un contexto de </w:t>
      </w:r>
      <w:r>
        <w:rPr>
          <w:rFonts w:ascii="Futura Lt BT" w:hAnsi="Futura Lt BT" w:cs="Times New Roman"/>
        </w:rPr>
        <w:t>crecimiento</w:t>
      </w:r>
      <w:r w:rsidRPr="00523573">
        <w:rPr>
          <w:rFonts w:ascii="Futura Lt BT" w:hAnsi="Futura Lt BT" w:cs="Times New Roman"/>
        </w:rPr>
        <w:t xml:space="preserve"> económic</w:t>
      </w:r>
      <w:r>
        <w:rPr>
          <w:rFonts w:ascii="Futura Lt BT" w:hAnsi="Futura Lt BT" w:cs="Times New Roman"/>
        </w:rPr>
        <w:t>o</w:t>
      </w:r>
      <w:r w:rsidRPr="00523573">
        <w:rPr>
          <w:rFonts w:ascii="Futura Lt BT" w:hAnsi="Futura Lt BT" w:cs="Times New Roman"/>
        </w:rPr>
        <w:t xml:space="preserve"> y de factores externos que </w:t>
      </w:r>
      <w:r>
        <w:rPr>
          <w:rFonts w:ascii="Futura Lt BT" w:hAnsi="Futura Lt BT" w:cs="Times New Roman"/>
        </w:rPr>
        <w:t xml:space="preserve">han favorecido </w:t>
      </w:r>
      <w:r w:rsidRPr="00523573">
        <w:rPr>
          <w:rFonts w:ascii="Futura Lt BT" w:hAnsi="Futura Lt BT" w:cs="Times New Roman"/>
        </w:rPr>
        <w:t xml:space="preserve">la </w:t>
      </w:r>
      <w:r w:rsidR="00DC6DB1">
        <w:rPr>
          <w:rFonts w:ascii="Futura Lt BT" w:hAnsi="Futura Lt BT" w:cs="Times New Roman"/>
        </w:rPr>
        <w:t xml:space="preserve">generación de </w:t>
      </w:r>
      <w:r w:rsidRPr="00523573">
        <w:rPr>
          <w:rFonts w:ascii="Futura Lt BT" w:hAnsi="Futura Lt BT" w:cs="Times New Roman"/>
        </w:rPr>
        <w:t xml:space="preserve">flujos </w:t>
      </w:r>
      <w:r>
        <w:rPr>
          <w:rFonts w:ascii="Futura Lt BT" w:hAnsi="Futura Lt BT" w:cs="Times New Roman"/>
        </w:rPr>
        <w:t xml:space="preserve">externos </w:t>
      </w:r>
      <w:r w:rsidR="00DC6DB1">
        <w:rPr>
          <w:rFonts w:ascii="Futura Lt BT" w:hAnsi="Futura Lt BT" w:cs="Times New Roman"/>
        </w:rPr>
        <w:t>a</w:t>
      </w:r>
      <w:r>
        <w:rPr>
          <w:rFonts w:ascii="Futura Lt BT" w:hAnsi="Futura Lt BT" w:cs="Times New Roman"/>
        </w:rPr>
        <w:t xml:space="preserve">l país. </w:t>
      </w:r>
      <w:r w:rsidRPr="00523573">
        <w:rPr>
          <w:rFonts w:ascii="Futura Lt BT" w:hAnsi="Futura Lt BT" w:cs="Times New Roman"/>
        </w:rPr>
        <w:t xml:space="preserve">Así, la mayor oferta de dólares, una política monetaria consistente con </w:t>
      </w:r>
      <w:r w:rsidR="00DC6DB1">
        <w:rPr>
          <w:rFonts w:ascii="Futura Lt BT" w:hAnsi="Futura Lt BT" w:cs="Times New Roman"/>
        </w:rPr>
        <w:t xml:space="preserve">las condiciones domésticas y externas, </w:t>
      </w:r>
      <w:r w:rsidRPr="00523573">
        <w:rPr>
          <w:rFonts w:ascii="Futura Lt BT" w:hAnsi="Futura Lt BT" w:cs="Times New Roman"/>
        </w:rPr>
        <w:t xml:space="preserve">y la posición en córdobas de los bancos y el gobierno </w:t>
      </w:r>
      <w:r>
        <w:rPr>
          <w:rFonts w:ascii="Futura Lt BT" w:hAnsi="Futura Lt BT" w:cs="Times New Roman"/>
        </w:rPr>
        <w:t xml:space="preserve">han </w:t>
      </w:r>
      <w:r w:rsidRPr="00523573">
        <w:rPr>
          <w:rFonts w:ascii="Futura Lt BT" w:hAnsi="Futura Lt BT" w:cs="Times New Roman"/>
        </w:rPr>
        <w:t>propicia</w:t>
      </w:r>
      <w:r>
        <w:rPr>
          <w:rFonts w:ascii="Futura Lt BT" w:hAnsi="Futura Lt BT" w:cs="Times New Roman"/>
        </w:rPr>
        <w:t xml:space="preserve">do que se continúen registrando </w:t>
      </w:r>
      <w:r w:rsidRPr="00523573">
        <w:rPr>
          <w:rFonts w:ascii="Futura Lt BT" w:hAnsi="Futura Lt BT" w:cs="Times New Roman"/>
        </w:rPr>
        <w:t>compras netas de divisas en la mesa de cambio</w:t>
      </w:r>
      <w:r>
        <w:rPr>
          <w:rFonts w:ascii="Futura Lt BT" w:hAnsi="Futura Lt BT" w:cs="Times New Roman"/>
        </w:rPr>
        <w:t xml:space="preserve"> del BCN y se mantenga una brecha </w:t>
      </w:r>
      <w:r>
        <w:rPr>
          <w:rFonts w:ascii="Futura Lt BT" w:hAnsi="Futura Lt BT" w:cs="Times New Roman"/>
        </w:rPr>
        <w:lastRenderedPageBreak/>
        <w:t>cambiaria baja y estable</w:t>
      </w:r>
      <w:r w:rsidRPr="00523573">
        <w:rPr>
          <w:rFonts w:ascii="Futura Lt BT" w:hAnsi="Futura Lt BT" w:cs="Times New Roman"/>
        </w:rPr>
        <w:t xml:space="preserve">. </w:t>
      </w:r>
      <w:r w:rsidRPr="00B632C4">
        <w:rPr>
          <w:rFonts w:ascii="Futura Lt BT" w:hAnsi="Futura Lt BT"/>
        </w:rPr>
        <w:t xml:space="preserve">En este </w:t>
      </w:r>
      <w:r w:rsidR="00B632C4">
        <w:rPr>
          <w:rFonts w:ascii="Futura Lt BT" w:hAnsi="Futura Lt BT"/>
        </w:rPr>
        <w:t>entorno</w:t>
      </w:r>
      <w:r>
        <w:rPr>
          <w:rFonts w:ascii="Futura Lt BT" w:hAnsi="Futura Lt BT"/>
        </w:rPr>
        <w:t xml:space="preserve"> monetario y cambiario, </w:t>
      </w:r>
      <w:r w:rsidRPr="00A61B1D">
        <w:rPr>
          <w:rFonts w:ascii="Futura Lt BT" w:hAnsi="Futura Lt BT"/>
        </w:rPr>
        <w:t xml:space="preserve">las reservas internacionales brutas (RIB) </w:t>
      </w:r>
      <w:r>
        <w:rPr>
          <w:rFonts w:ascii="Futura Lt BT" w:hAnsi="Futura Lt BT"/>
        </w:rPr>
        <w:t>s</w:t>
      </w:r>
      <w:r w:rsidR="00DC6DB1">
        <w:rPr>
          <w:rFonts w:ascii="Futura Lt BT" w:hAnsi="Futura Lt BT"/>
        </w:rPr>
        <w:t>iguen aumentando</w:t>
      </w:r>
      <w:r>
        <w:rPr>
          <w:rFonts w:ascii="Futura Lt BT" w:hAnsi="Futura Lt BT"/>
        </w:rPr>
        <w:t>,</w:t>
      </w:r>
      <w:r w:rsidRPr="00A61B1D">
        <w:rPr>
          <w:rFonts w:ascii="Futura Lt BT" w:hAnsi="Futura Lt BT"/>
        </w:rPr>
        <w:t xml:space="preserve"> </w:t>
      </w:r>
      <w:r>
        <w:rPr>
          <w:rFonts w:ascii="Futura Lt BT" w:hAnsi="Futura Lt BT"/>
        </w:rPr>
        <w:t xml:space="preserve">fortaleciendo </w:t>
      </w:r>
      <w:r w:rsidRPr="00A61B1D">
        <w:rPr>
          <w:rFonts w:ascii="Futura Lt BT" w:hAnsi="Futura Lt BT"/>
        </w:rPr>
        <w:t>la capacidad para resguardar el régimen cambiario vigente.</w:t>
      </w:r>
    </w:p>
    <w:p w:rsidR="00097935" w:rsidRPr="00FA1EE0" w:rsidRDefault="00097935" w:rsidP="00097935">
      <w:pPr>
        <w:pStyle w:val="Ttulo1"/>
        <w:spacing w:before="0" w:after="160" w:line="278" w:lineRule="auto"/>
      </w:pPr>
      <w:r>
        <w:rPr>
          <w:lang w:val="es-MX"/>
        </w:rPr>
        <w:t>Proyecciones 2024</w:t>
      </w:r>
    </w:p>
    <w:p w:rsidR="00614D20" w:rsidRDefault="00061A14" w:rsidP="00CC7AFC">
      <w:pPr>
        <w:spacing w:line="278" w:lineRule="auto"/>
        <w:jc w:val="both"/>
        <w:rPr>
          <w:rFonts w:ascii="Futura Lt BT" w:hAnsi="Futura Lt BT"/>
        </w:rPr>
      </w:pPr>
      <w:r>
        <w:rPr>
          <w:rFonts w:ascii="Futura Lt BT" w:hAnsi="Futura Lt BT"/>
        </w:rPr>
        <w:t xml:space="preserve">Dado los resultados positivos </w:t>
      </w:r>
      <w:r w:rsidR="00357EF6">
        <w:rPr>
          <w:rFonts w:ascii="Futura Lt BT" w:hAnsi="Futura Lt BT"/>
        </w:rPr>
        <w:t>al tercer trimestre</w:t>
      </w:r>
      <w:r w:rsidRPr="003B11E9">
        <w:rPr>
          <w:rFonts w:ascii="Futura Lt BT" w:hAnsi="Futura Lt BT"/>
        </w:rPr>
        <w:t xml:space="preserve">, </w:t>
      </w:r>
      <w:r w:rsidRPr="00E9044A">
        <w:rPr>
          <w:rFonts w:ascii="Futura Lt BT" w:hAnsi="Futura Lt BT"/>
        </w:rPr>
        <w:t xml:space="preserve">se </w:t>
      </w:r>
      <w:r w:rsidRPr="0023344B">
        <w:rPr>
          <w:rFonts w:ascii="Futura Lt BT" w:hAnsi="Futura Lt BT"/>
        </w:rPr>
        <w:t xml:space="preserve">preserva </w:t>
      </w:r>
      <w:r w:rsidR="00357EF6">
        <w:rPr>
          <w:rFonts w:ascii="Futura Lt BT" w:hAnsi="Futura Lt BT"/>
        </w:rPr>
        <w:t>el</w:t>
      </w:r>
      <w:r w:rsidRPr="0023344B">
        <w:rPr>
          <w:rFonts w:ascii="Futura Lt BT" w:hAnsi="Futura Lt BT"/>
        </w:rPr>
        <w:t xml:space="preserve"> escenario macroeconómico </w:t>
      </w:r>
      <w:r w:rsidR="00E9044A" w:rsidRPr="0023344B">
        <w:rPr>
          <w:rFonts w:ascii="Futura Lt BT" w:hAnsi="Futura Lt BT"/>
        </w:rPr>
        <w:t xml:space="preserve">favorable </w:t>
      </w:r>
      <w:r w:rsidR="00357EF6">
        <w:rPr>
          <w:rFonts w:ascii="Futura Lt BT" w:hAnsi="Futura Lt BT"/>
        </w:rPr>
        <w:t xml:space="preserve">previsto </w:t>
      </w:r>
      <w:r w:rsidR="00CC7AFC">
        <w:rPr>
          <w:rFonts w:ascii="Futura Lt BT" w:hAnsi="Futura Lt BT"/>
        </w:rPr>
        <w:t xml:space="preserve">para 2024 </w:t>
      </w:r>
      <w:r w:rsidR="00357EF6">
        <w:rPr>
          <w:rFonts w:ascii="Futura Lt BT" w:hAnsi="Futura Lt BT"/>
        </w:rPr>
        <w:t>en el Informe de Política Monetaria y Cambiaria del BCN</w:t>
      </w:r>
      <w:r w:rsidR="00CC7AFC">
        <w:rPr>
          <w:rFonts w:ascii="Futura Lt BT" w:hAnsi="Futura Lt BT"/>
        </w:rPr>
        <w:t xml:space="preserve"> publicado en julio</w:t>
      </w:r>
      <w:r w:rsidR="00614D20">
        <w:rPr>
          <w:rFonts w:ascii="Futura Lt BT" w:hAnsi="Futura Lt BT"/>
        </w:rPr>
        <w:t>,</w:t>
      </w:r>
      <w:r w:rsidR="00CC7AFC">
        <w:rPr>
          <w:rFonts w:ascii="Futura Lt BT" w:hAnsi="Futura Lt BT"/>
        </w:rPr>
        <w:t xml:space="preserve"> </w:t>
      </w:r>
      <w:r w:rsidR="00CC7AFC" w:rsidRPr="00CC7AFC">
        <w:rPr>
          <w:rFonts w:ascii="Futura Lt BT" w:hAnsi="Futura Lt BT"/>
        </w:rPr>
        <w:t>sustentado en el comportamiento de un conjunto de variables</w:t>
      </w:r>
      <w:r w:rsidR="00CC7AFC">
        <w:rPr>
          <w:rFonts w:ascii="Futura Lt BT" w:hAnsi="Futura Lt BT"/>
        </w:rPr>
        <w:t xml:space="preserve"> </w:t>
      </w:r>
      <w:r w:rsidR="00CC7AFC" w:rsidRPr="00CC7AFC">
        <w:rPr>
          <w:rFonts w:ascii="Futura Lt BT" w:hAnsi="Futura Lt BT"/>
        </w:rPr>
        <w:t>(PIB, IMAE, exportaciones, recaudación, crédito, remesas, turismo, entre otras), así como la evolución</w:t>
      </w:r>
      <w:r w:rsidR="00CC7AFC">
        <w:rPr>
          <w:rFonts w:ascii="Futura Lt BT" w:hAnsi="Futura Lt BT"/>
        </w:rPr>
        <w:t xml:space="preserve"> del contexto internacional</w:t>
      </w:r>
      <w:r w:rsidR="00E9044A" w:rsidRPr="0023344B">
        <w:rPr>
          <w:rFonts w:ascii="Futura Lt BT" w:hAnsi="Futura Lt BT"/>
        </w:rPr>
        <w:t>.</w:t>
      </w:r>
    </w:p>
    <w:p w:rsidR="00061A14" w:rsidRDefault="00061A14" w:rsidP="00061A14">
      <w:pPr>
        <w:spacing w:line="278" w:lineRule="auto"/>
        <w:jc w:val="both"/>
        <w:rPr>
          <w:rFonts w:ascii="Futura Lt BT" w:hAnsi="Futura Lt BT"/>
        </w:rPr>
      </w:pPr>
      <w:r w:rsidRPr="0023344B">
        <w:rPr>
          <w:rFonts w:ascii="Futura Lt BT" w:hAnsi="Futura Lt BT"/>
        </w:rPr>
        <w:t xml:space="preserve">Por consiguiente, en esta nota sobre </w:t>
      </w:r>
      <w:r w:rsidRPr="0023344B">
        <w:rPr>
          <w:rFonts w:ascii="Futura Lt BT" w:hAnsi="Futura Lt BT" w:cs="Times New Roman"/>
        </w:rPr>
        <w:t>Perspectivas Macroeconómicas 2024,</w:t>
      </w:r>
      <w:r w:rsidRPr="0023344B">
        <w:rPr>
          <w:rFonts w:ascii="Futura Lt BT" w:hAnsi="Futura Lt BT"/>
        </w:rPr>
        <w:t xml:space="preserve"> el BCN mantiene el rango de crecimiento esperado del PIB del año 2024 en 3.5 – 4.5 por ciento, con la expectativa que se mantenga la dinámica positiva mostrada en todos los sectores, principalmente del sector servicios. A su vez, se prevé que el empleo continúe estable en 2024, con una tasa de desempleo </w:t>
      </w:r>
      <w:r w:rsidR="00E9044A" w:rsidRPr="0023344B">
        <w:rPr>
          <w:rFonts w:ascii="Futura Lt BT" w:hAnsi="Futura Lt BT"/>
        </w:rPr>
        <w:t xml:space="preserve">promedio </w:t>
      </w:r>
      <w:r w:rsidRPr="0023344B">
        <w:rPr>
          <w:rFonts w:ascii="Futura Lt BT" w:hAnsi="Futura Lt BT"/>
        </w:rPr>
        <w:t>de entre 3.0 – 3.5 por ciento</w:t>
      </w:r>
      <w:r w:rsidRPr="00FA1EE0">
        <w:rPr>
          <w:rFonts w:ascii="Futura Lt BT" w:hAnsi="Futura Lt BT"/>
        </w:rPr>
        <w:t>.</w:t>
      </w:r>
    </w:p>
    <w:p w:rsidR="00CC7AFC" w:rsidRDefault="00CC7AFC" w:rsidP="00CC7AFC">
      <w:pPr>
        <w:spacing w:line="278" w:lineRule="auto"/>
        <w:jc w:val="both"/>
        <w:rPr>
          <w:rFonts w:ascii="Futura Lt BT" w:hAnsi="Futura Lt BT"/>
        </w:rPr>
      </w:pPr>
      <w:r w:rsidRPr="00CC7AFC">
        <w:rPr>
          <w:rFonts w:ascii="Futura Lt BT" w:hAnsi="Futura Lt BT"/>
        </w:rPr>
        <w:t>En cuanto a la evolución de la inflación doméstica, se espera que la conti</w:t>
      </w:r>
      <w:bookmarkStart w:id="2" w:name="_GoBack"/>
      <w:bookmarkEnd w:id="2"/>
      <w:r w:rsidRPr="00CC7AFC">
        <w:rPr>
          <w:rFonts w:ascii="Futura Lt BT" w:hAnsi="Futura Lt BT"/>
        </w:rPr>
        <w:t>nuidad en el descenso de la</w:t>
      </w:r>
      <w:r>
        <w:rPr>
          <w:rFonts w:ascii="Futura Lt BT" w:hAnsi="Futura Lt BT"/>
        </w:rPr>
        <w:t xml:space="preserve"> </w:t>
      </w:r>
      <w:r w:rsidRPr="00CC7AFC">
        <w:rPr>
          <w:rFonts w:ascii="Futura Lt BT" w:hAnsi="Futura Lt BT"/>
        </w:rPr>
        <w:t xml:space="preserve">inflación internacional continúe traspasándose gradualmente a los precios </w:t>
      </w:r>
      <w:r>
        <w:rPr>
          <w:rFonts w:ascii="Futura Lt BT" w:hAnsi="Futura Lt BT"/>
        </w:rPr>
        <w:t xml:space="preserve">nacionales, por tanto, </w:t>
      </w:r>
      <w:r w:rsidRPr="00CC7AFC">
        <w:rPr>
          <w:rFonts w:ascii="Futura Lt BT" w:hAnsi="Futura Lt BT"/>
        </w:rPr>
        <w:t>el BCN mantiene el rango de proyección de 3.5 – 4.5 por ciento</w:t>
      </w:r>
      <w:r>
        <w:rPr>
          <w:rFonts w:ascii="Futura Lt BT" w:hAnsi="Futura Lt BT"/>
        </w:rPr>
        <w:t xml:space="preserve"> para 2024</w:t>
      </w:r>
      <w:r w:rsidRPr="00CC7AFC">
        <w:rPr>
          <w:rFonts w:ascii="Futura Lt BT" w:hAnsi="Futura Lt BT"/>
        </w:rPr>
        <w:t>, sustentado en un</w:t>
      </w:r>
      <w:r>
        <w:rPr>
          <w:rFonts w:ascii="Futura Lt BT" w:hAnsi="Futura Lt BT"/>
        </w:rPr>
        <w:t xml:space="preserve"> </w:t>
      </w:r>
      <w:r w:rsidRPr="00CC7AFC">
        <w:rPr>
          <w:rFonts w:ascii="Futura Lt BT" w:hAnsi="Futura Lt BT"/>
        </w:rPr>
        <w:t>marco de política fiscal, monetaria y cambiaria adecuado, con las políticas de subsidio del Gobierno</w:t>
      </w:r>
      <w:r>
        <w:rPr>
          <w:rFonts w:ascii="Futura Lt BT" w:hAnsi="Futura Lt BT"/>
        </w:rPr>
        <w:t xml:space="preserve"> </w:t>
      </w:r>
      <w:r w:rsidRPr="00CC7AFC">
        <w:rPr>
          <w:rFonts w:ascii="Futura Lt BT" w:hAnsi="Futura Lt BT"/>
        </w:rPr>
        <w:t>para contener el incremento del costo de vida de la población y una tasa de deslizamiento cambiario</w:t>
      </w:r>
      <w:r>
        <w:rPr>
          <w:rFonts w:ascii="Futura Lt BT" w:hAnsi="Futura Lt BT"/>
        </w:rPr>
        <w:t xml:space="preserve"> </w:t>
      </w:r>
      <w:r w:rsidRPr="00CC7AFC">
        <w:rPr>
          <w:rFonts w:ascii="Futura Lt BT" w:hAnsi="Futura Lt BT"/>
        </w:rPr>
        <w:t>de cero por ciento que también está atenua</w:t>
      </w:r>
      <w:r w:rsidR="00097935">
        <w:rPr>
          <w:rFonts w:ascii="Futura Lt BT" w:hAnsi="Futura Lt BT"/>
        </w:rPr>
        <w:t>n</w:t>
      </w:r>
      <w:r w:rsidRPr="00CC7AFC">
        <w:rPr>
          <w:rFonts w:ascii="Futura Lt BT" w:hAnsi="Futura Lt BT"/>
        </w:rPr>
        <w:t>do la inflación. Si bien los pronósticos para 2024 son</w:t>
      </w:r>
      <w:r>
        <w:rPr>
          <w:rFonts w:ascii="Futura Lt BT" w:hAnsi="Futura Lt BT"/>
        </w:rPr>
        <w:t xml:space="preserve"> </w:t>
      </w:r>
      <w:r w:rsidRPr="00CC7AFC">
        <w:rPr>
          <w:rFonts w:ascii="Futura Lt BT" w:hAnsi="Futura Lt BT"/>
        </w:rPr>
        <w:t>positivos, estos se encuentran condicionados a la continuidad en la disminución de las presiones de</w:t>
      </w:r>
      <w:r>
        <w:rPr>
          <w:rFonts w:ascii="Futura Lt BT" w:hAnsi="Futura Lt BT"/>
        </w:rPr>
        <w:t xml:space="preserve"> </w:t>
      </w:r>
      <w:r w:rsidRPr="00CC7AFC">
        <w:rPr>
          <w:rFonts w:ascii="Futura Lt BT" w:hAnsi="Futura Lt BT"/>
        </w:rPr>
        <w:t xml:space="preserve">precios internacionales y a las perspectivas de </w:t>
      </w:r>
      <w:r w:rsidR="00097935">
        <w:rPr>
          <w:rFonts w:ascii="Futura Lt BT" w:hAnsi="Futura Lt BT"/>
        </w:rPr>
        <w:t xml:space="preserve">condiciones climáticas adecuadas para </w:t>
      </w:r>
      <w:r w:rsidRPr="00CC7AFC">
        <w:rPr>
          <w:rFonts w:ascii="Futura Lt BT" w:hAnsi="Futura Lt BT"/>
        </w:rPr>
        <w:t>un buen ciclo de producción agropecuaria.</w:t>
      </w:r>
    </w:p>
    <w:p w:rsidR="00A146E3" w:rsidRDefault="00A146E3" w:rsidP="00CC7AFC">
      <w:pPr>
        <w:spacing w:line="278" w:lineRule="auto"/>
        <w:jc w:val="both"/>
        <w:rPr>
          <w:rFonts w:ascii="Futura Lt BT" w:hAnsi="Futura Lt BT"/>
        </w:rPr>
      </w:pPr>
      <w:r w:rsidRPr="00A146E3">
        <w:rPr>
          <w:rFonts w:ascii="Futura Lt BT" w:hAnsi="Futura Lt BT"/>
        </w:rPr>
        <w:t>En el ámbito de la Tasa de Referencia</w:t>
      </w:r>
      <w:r>
        <w:rPr>
          <w:rFonts w:ascii="Futura Lt BT" w:hAnsi="Futura Lt BT"/>
        </w:rPr>
        <w:t xml:space="preserve"> </w:t>
      </w:r>
      <w:r w:rsidRPr="00A146E3">
        <w:rPr>
          <w:rFonts w:ascii="Futura Lt BT" w:hAnsi="Futura Lt BT"/>
        </w:rPr>
        <w:t>Monetaria (TRM), el BCN</w:t>
      </w:r>
      <w:r>
        <w:rPr>
          <w:rFonts w:ascii="Futura Lt BT" w:hAnsi="Futura Lt BT"/>
        </w:rPr>
        <w:t xml:space="preserve"> c</w:t>
      </w:r>
      <w:r w:rsidRPr="00A146E3">
        <w:rPr>
          <w:rFonts w:ascii="Futura Lt BT" w:hAnsi="Futura Lt BT"/>
        </w:rPr>
        <w:t>onsidera que el nivel</w:t>
      </w:r>
      <w:r>
        <w:rPr>
          <w:rFonts w:ascii="Futura Lt BT" w:hAnsi="Futura Lt BT"/>
        </w:rPr>
        <w:t xml:space="preserve"> actual es consistente </w:t>
      </w:r>
      <w:r w:rsidRPr="00A146E3">
        <w:rPr>
          <w:rFonts w:ascii="Futura Lt BT" w:hAnsi="Futura Lt BT"/>
        </w:rPr>
        <w:t>con los objetivos de crecimiento y de</w:t>
      </w:r>
      <w:r>
        <w:rPr>
          <w:rFonts w:ascii="Futura Lt BT" w:hAnsi="Futura Lt BT"/>
        </w:rPr>
        <w:t xml:space="preserve"> </w:t>
      </w:r>
      <w:r w:rsidRPr="00A146E3">
        <w:rPr>
          <w:rFonts w:ascii="Futura Lt BT" w:hAnsi="Futura Lt BT"/>
        </w:rPr>
        <w:t>estabilidad de la intermediación financiera</w:t>
      </w:r>
      <w:r>
        <w:rPr>
          <w:rFonts w:ascii="Futura Lt BT" w:hAnsi="Futura Lt BT"/>
        </w:rPr>
        <w:t>, n</w:t>
      </w:r>
      <w:r w:rsidRPr="00A146E3">
        <w:rPr>
          <w:rFonts w:ascii="Futura Lt BT" w:hAnsi="Futura Lt BT"/>
        </w:rPr>
        <w:t>o obstante, de manera oportuna, se podrían considerar</w:t>
      </w:r>
      <w:r>
        <w:rPr>
          <w:rFonts w:ascii="Futura Lt BT" w:hAnsi="Futura Lt BT"/>
        </w:rPr>
        <w:t xml:space="preserve"> </w:t>
      </w:r>
      <w:r w:rsidRPr="00A146E3">
        <w:rPr>
          <w:rFonts w:ascii="Futura Lt BT" w:hAnsi="Futura Lt BT"/>
        </w:rPr>
        <w:t xml:space="preserve">cambios </w:t>
      </w:r>
      <w:r>
        <w:rPr>
          <w:rFonts w:ascii="Futura Lt BT" w:hAnsi="Futura Lt BT"/>
        </w:rPr>
        <w:t xml:space="preserve">adicionales </w:t>
      </w:r>
      <w:r w:rsidRPr="00A146E3">
        <w:rPr>
          <w:rFonts w:ascii="Futura Lt BT" w:hAnsi="Futura Lt BT"/>
        </w:rPr>
        <w:t>en dependencia de la evolución de las condiciones</w:t>
      </w:r>
      <w:r>
        <w:rPr>
          <w:rFonts w:ascii="Futura Lt BT" w:hAnsi="Futura Lt BT"/>
        </w:rPr>
        <w:t xml:space="preserve"> </w:t>
      </w:r>
      <w:r w:rsidRPr="00A146E3">
        <w:rPr>
          <w:rFonts w:ascii="Futura Lt BT" w:hAnsi="Futura Lt BT"/>
        </w:rPr>
        <w:t>monetarias internas</w:t>
      </w:r>
      <w:r>
        <w:rPr>
          <w:rFonts w:ascii="Futura Lt BT" w:hAnsi="Futura Lt BT"/>
        </w:rPr>
        <w:t xml:space="preserve"> y externas</w:t>
      </w:r>
      <w:r w:rsidRPr="00A146E3">
        <w:rPr>
          <w:rFonts w:ascii="Futura Lt BT" w:hAnsi="Futura Lt BT"/>
        </w:rPr>
        <w:t>. La política de tasas de interés del BCN, junto con el resto de sus instrumentos</w:t>
      </w:r>
      <w:r>
        <w:rPr>
          <w:rFonts w:ascii="Futura Lt BT" w:hAnsi="Futura Lt BT"/>
        </w:rPr>
        <w:t xml:space="preserve"> </w:t>
      </w:r>
      <w:r w:rsidRPr="00A146E3">
        <w:rPr>
          <w:rFonts w:ascii="Futura Lt BT" w:hAnsi="Futura Lt BT"/>
        </w:rPr>
        <w:t>monetarios, continuará enfocada en favorecer la intermediación financiera y la movilización del</w:t>
      </w:r>
      <w:r>
        <w:rPr>
          <w:rFonts w:ascii="Futura Lt BT" w:hAnsi="Futura Lt BT"/>
        </w:rPr>
        <w:t xml:space="preserve"> </w:t>
      </w:r>
      <w:r w:rsidRPr="00A146E3">
        <w:rPr>
          <w:rFonts w:ascii="Futura Lt BT" w:hAnsi="Futura Lt BT"/>
        </w:rPr>
        <w:t>crédito, con el propósito de apoyar el crecimiento económico.</w:t>
      </w:r>
    </w:p>
    <w:p w:rsidR="00A146E3" w:rsidRDefault="00A146E3" w:rsidP="00061A14">
      <w:pPr>
        <w:spacing w:line="278" w:lineRule="auto"/>
        <w:jc w:val="both"/>
        <w:rPr>
          <w:rFonts w:ascii="Futura Lt BT" w:hAnsi="Futura Lt BT"/>
        </w:rPr>
      </w:pPr>
      <w:r w:rsidRPr="00A146E3">
        <w:rPr>
          <w:rFonts w:ascii="Futura Lt BT" w:hAnsi="Futura Lt BT"/>
        </w:rPr>
        <w:t>Por el lado del sector externo, se prevé que el superávit de cuenta corriente de la balanza de pagos de</w:t>
      </w:r>
      <w:r>
        <w:rPr>
          <w:rFonts w:ascii="Futura Lt BT" w:hAnsi="Futura Lt BT"/>
        </w:rPr>
        <w:t xml:space="preserve"> </w:t>
      </w:r>
      <w:r w:rsidRPr="00A146E3">
        <w:rPr>
          <w:rFonts w:ascii="Futura Lt BT" w:hAnsi="Futura Lt BT"/>
        </w:rPr>
        <w:t>2024 se ubique en el rango de proyección de entre 4.5 – 5.5 por ciento del PIB, sustentado en la</w:t>
      </w:r>
      <w:r>
        <w:rPr>
          <w:rFonts w:ascii="Futura Lt BT" w:hAnsi="Futura Lt BT"/>
        </w:rPr>
        <w:t xml:space="preserve"> </w:t>
      </w:r>
      <w:r w:rsidRPr="00A146E3">
        <w:rPr>
          <w:rFonts w:ascii="Futura Lt BT" w:hAnsi="Futura Lt BT"/>
        </w:rPr>
        <w:t>evolución de</w:t>
      </w:r>
      <w:r>
        <w:rPr>
          <w:rFonts w:ascii="Futura Lt BT" w:hAnsi="Futura Lt BT"/>
        </w:rPr>
        <w:t xml:space="preserve"> las remesas, los ingresos por turismo y el comercio exterior</w:t>
      </w:r>
      <w:r w:rsidRPr="00A146E3">
        <w:rPr>
          <w:rFonts w:ascii="Futura Lt BT" w:hAnsi="Futura Lt BT"/>
        </w:rPr>
        <w:t>. Asimismo, se espera que las reservas internacionales continúen fortaleciéndose</w:t>
      </w:r>
      <w:r>
        <w:rPr>
          <w:rFonts w:ascii="Futura Lt BT" w:hAnsi="Futura Lt BT"/>
        </w:rPr>
        <w:t xml:space="preserve">, </w:t>
      </w:r>
      <w:r w:rsidRPr="00A146E3">
        <w:rPr>
          <w:rFonts w:ascii="Futura Lt BT" w:hAnsi="Futura Lt BT"/>
        </w:rPr>
        <w:t>consistente con las proyecciones fiscales y del resto de balances macroeconómicos</w:t>
      </w:r>
      <w:r>
        <w:rPr>
          <w:rFonts w:ascii="Futura Lt BT" w:hAnsi="Futura Lt BT"/>
        </w:rPr>
        <w:t>,</w:t>
      </w:r>
      <w:r w:rsidRPr="00A146E3">
        <w:rPr>
          <w:rFonts w:ascii="Futura Lt BT" w:hAnsi="Futura Lt BT"/>
        </w:rPr>
        <w:t xml:space="preserve"> garantizando la estabilidad del régimen cambiario vigente.</w:t>
      </w:r>
    </w:p>
    <w:p w:rsidR="00061A14" w:rsidRDefault="00061A14" w:rsidP="00002E6B">
      <w:pPr>
        <w:spacing w:line="278" w:lineRule="auto"/>
        <w:jc w:val="both"/>
        <w:rPr>
          <w:rFonts w:ascii="Futura Lt BT" w:hAnsi="Futura Lt BT"/>
        </w:rPr>
      </w:pPr>
      <w:r w:rsidRPr="00B21672">
        <w:rPr>
          <w:rFonts w:ascii="Futura Lt BT" w:hAnsi="Futura Lt BT"/>
        </w:rPr>
        <w:t xml:space="preserve">Para finalizar, </w:t>
      </w:r>
      <w:r>
        <w:rPr>
          <w:rFonts w:ascii="Futura Lt BT" w:hAnsi="Futura Lt BT"/>
        </w:rPr>
        <w:t xml:space="preserve">si bien las perspectivas </w:t>
      </w:r>
      <w:r w:rsidR="00E773C7">
        <w:rPr>
          <w:rFonts w:ascii="Futura Lt BT" w:hAnsi="Futura Lt BT"/>
        </w:rPr>
        <w:t>macroeconómicas</w:t>
      </w:r>
      <w:r>
        <w:rPr>
          <w:rFonts w:ascii="Futura Lt BT" w:hAnsi="Futura Lt BT"/>
        </w:rPr>
        <w:t xml:space="preserve"> son favorables, persisten riesgos que podrían afectar la evolución macroeconómica, como </w:t>
      </w:r>
      <w:r w:rsidRPr="00597A22">
        <w:rPr>
          <w:rFonts w:ascii="Futura Lt BT" w:hAnsi="Futura Lt BT"/>
        </w:rPr>
        <w:t xml:space="preserve">la </w:t>
      </w:r>
      <w:r>
        <w:rPr>
          <w:rFonts w:ascii="Futura Lt BT" w:hAnsi="Futura Lt BT"/>
        </w:rPr>
        <w:t xml:space="preserve">materialización de choques por conflictos geopolíticos que deriven en aumentos </w:t>
      </w:r>
      <w:r w:rsidRPr="00597A22">
        <w:rPr>
          <w:rFonts w:ascii="Futura Lt BT" w:hAnsi="Futura Lt BT"/>
        </w:rPr>
        <w:t>en los precios del petróleo y</w:t>
      </w:r>
      <w:r>
        <w:rPr>
          <w:rFonts w:ascii="Futura Lt BT" w:hAnsi="Futura Lt BT"/>
        </w:rPr>
        <w:t xml:space="preserve"> los</w:t>
      </w:r>
      <w:r w:rsidRPr="00597A22">
        <w:rPr>
          <w:rFonts w:ascii="Futura Lt BT" w:hAnsi="Futura Lt BT"/>
        </w:rPr>
        <w:t xml:space="preserve"> alimentos, generando presiones sobre los precios domésticos</w:t>
      </w:r>
      <w:r w:rsidR="00002E6B">
        <w:rPr>
          <w:rFonts w:ascii="Futura Lt BT" w:hAnsi="Futura Lt BT"/>
        </w:rPr>
        <w:t xml:space="preserve"> y un ciclo de normalización más gradual de </w:t>
      </w:r>
      <w:r w:rsidRPr="00597A22">
        <w:rPr>
          <w:rFonts w:ascii="Futura Lt BT" w:hAnsi="Futura Lt BT"/>
        </w:rPr>
        <w:t xml:space="preserve">la política monetaria </w:t>
      </w:r>
      <w:r>
        <w:rPr>
          <w:rFonts w:ascii="Futura Lt BT" w:hAnsi="Futura Lt BT"/>
        </w:rPr>
        <w:t>global</w:t>
      </w:r>
      <w:r w:rsidRPr="00597A22">
        <w:rPr>
          <w:rFonts w:ascii="Futura Lt BT" w:hAnsi="Futura Lt BT"/>
        </w:rPr>
        <w:t xml:space="preserve">, lo que pudiera desacelerar la dinámica de producción mundial y afectar las exportaciones. </w:t>
      </w:r>
      <w:r w:rsidR="00002E6B" w:rsidRPr="00002E6B">
        <w:rPr>
          <w:rFonts w:ascii="Futura Lt BT" w:hAnsi="Futura Lt BT"/>
        </w:rPr>
        <w:t xml:space="preserve">En el país, también </w:t>
      </w:r>
      <w:r w:rsidR="00002E6B" w:rsidRPr="00002E6B">
        <w:rPr>
          <w:rFonts w:ascii="Futura Lt BT" w:hAnsi="Futura Lt BT"/>
        </w:rPr>
        <w:lastRenderedPageBreak/>
        <w:t>persisten los riesgos relacionados a los eventos climáticos,</w:t>
      </w:r>
      <w:r w:rsidR="00002E6B">
        <w:rPr>
          <w:rFonts w:ascii="Futura Lt BT" w:hAnsi="Futura Lt BT"/>
        </w:rPr>
        <w:t xml:space="preserve"> </w:t>
      </w:r>
      <w:r w:rsidR="00002E6B" w:rsidRPr="00002E6B">
        <w:rPr>
          <w:rFonts w:ascii="Futura Lt BT" w:hAnsi="Futura Lt BT"/>
        </w:rPr>
        <w:t>que pueden incidir sobre la evolución de variables macroeconómicas</w:t>
      </w:r>
      <w:r w:rsidR="00002E6B">
        <w:rPr>
          <w:rFonts w:ascii="Futura Lt BT" w:hAnsi="Futura Lt BT"/>
        </w:rPr>
        <w:t>.</w:t>
      </w:r>
    </w:p>
    <w:p w:rsidR="00002E6B" w:rsidRDefault="00002E6B" w:rsidP="00002E6B">
      <w:pPr>
        <w:spacing w:line="278" w:lineRule="auto"/>
        <w:jc w:val="both"/>
        <w:rPr>
          <w:rFonts w:ascii="Futura Lt BT" w:hAnsi="Futura Lt BT"/>
        </w:rPr>
      </w:pPr>
      <w:r w:rsidRPr="00002E6B">
        <w:rPr>
          <w:rFonts w:ascii="Futura Lt BT" w:hAnsi="Futura Lt BT"/>
        </w:rPr>
        <w:t>No obstante, la economía nicaragüense ha dado muestras de fortalezas que ayudan a mitigar los</w:t>
      </w:r>
      <w:r>
        <w:rPr>
          <w:rFonts w:ascii="Futura Lt BT" w:hAnsi="Futura Lt BT"/>
        </w:rPr>
        <w:t xml:space="preserve"> </w:t>
      </w:r>
      <w:r w:rsidRPr="00002E6B">
        <w:rPr>
          <w:rFonts w:ascii="Futura Lt BT" w:hAnsi="Futura Lt BT"/>
        </w:rPr>
        <w:t>riesgos y propiciar un crecimiento mejor al previsto. Así, una fortaleza es el grado de apertura</w:t>
      </w:r>
      <w:r>
        <w:rPr>
          <w:rFonts w:ascii="Futura Lt BT" w:hAnsi="Futura Lt BT"/>
        </w:rPr>
        <w:t xml:space="preserve"> </w:t>
      </w:r>
      <w:r w:rsidRPr="00002E6B">
        <w:rPr>
          <w:rFonts w:ascii="Futura Lt BT" w:hAnsi="Futura Lt BT"/>
        </w:rPr>
        <w:t>alcanzado, destacándose los ingresos generados por el sector exportador, que ha sido fundamental</w:t>
      </w:r>
      <w:r>
        <w:rPr>
          <w:rFonts w:ascii="Futura Lt BT" w:hAnsi="Futura Lt BT"/>
        </w:rPr>
        <w:t xml:space="preserve"> </w:t>
      </w:r>
      <w:r w:rsidRPr="00002E6B">
        <w:rPr>
          <w:rFonts w:ascii="Futura Lt BT" w:hAnsi="Futura Lt BT"/>
        </w:rPr>
        <w:t>para el crecimiento. Adicionalmente, la estabilidad del sistema financiero, que ha aumentado la</w:t>
      </w:r>
      <w:r>
        <w:rPr>
          <w:rFonts w:ascii="Futura Lt BT" w:hAnsi="Futura Lt BT"/>
        </w:rPr>
        <w:t xml:space="preserve"> </w:t>
      </w:r>
      <w:r w:rsidRPr="00002E6B">
        <w:rPr>
          <w:rFonts w:ascii="Futura Lt BT" w:hAnsi="Futura Lt BT"/>
        </w:rPr>
        <w:t>captación de recursos a través de los depósitos para canalizarlos hacia el crédito, en conjunto con la</w:t>
      </w:r>
      <w:r>
        <w:rPr>
          <w:rFonts w:ascii="Futura Lt BT" w:hAnsi="Futura Lt BT"/>
        </w:rPr>
        <w:t xml:space="preserve"> </w:t>
      </w:r>
      <w:r w:rsidRPr="00002E6B">
        <w:rPr>
          <w:rFonts w:ascii="Futura Lt BT" w:hAnsi="Futura Lt BT"/>
        </w:rPr>
        <w:t xml:space="preserve">adecuada coordinación de las políticas fiscales, monetarias y financieras, también </w:t>
      </w:r>
      <w:r>
        <w:rPr>
          <w:rFonts w:ascii="Futura Lt BT" w:hAnsi="Futura Lt BT"/>
        </w:rPr>
        <w:t xml:space="preserve">contribuyen </w:t>
      </w:r>
      <w:r w:rsidRPr="00002E6B">
        <w:rPr>
          <w:rFonts w:ascii="Futura Lt BT" w:hAnsi="Futura Lt BT"/>
        </w:rPr>
        <w:t>a</w:t>
      </w:r>
      <w:r>
        <w:rPr>
          <w:rFonts w:ascii="Futura Lt BT" w:hAnsi="Futura Lt BT"/>
        </w:rPr>
        <w:t xml:space="preserve">l </w:t>
      </w:r>
      <w:r w:rsidRPr="00002E6B">
        <w:rPr>
          <w:rFonts w:ascii="Futura Lt BT" w:hAnsi="Futura Lt BT"/>
        </w:rPr>
        <w:t>crecimiento económico.</w:t>
      </w:r>
    </w:p>
    <w:p w:rsidR="001E72CF" w:rsidRPr="00C727ED" w:rsidRDefault="001E72CF" w:rsidP="0018476A">
      <w:pPr>
        <w:spacing w:line="278" w:lineRule="auto"/>
        <w:jc w:val="both"/>
        <w:rPr>
          <w:rFonts w:ascii="Futura Lt BT" w:hAnsi="Futura Lt BT"/>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09"/>
      </w:tblGrid>
      <w:tr w:rsidR="00012F0A" w:rsidRPr="00BD3EE9" w:rsidTr="00A62DE4">
        <w:trPr>
          <w:tblHeader/>
        </w:trPr>
        <w:tc>
          <w:tcPr>
            <w:tcW w:w="9309" w:type="dxa"/>
          </w:tcPr>
          <w:p w:rsidR="00012F0A" w:rsidRPr="00BD3EE9" w:rsidRDefault="00A62DE4" w:rsidP="009A4A32">
            <w:pPr>
              <w:jc w:val="both"/>
              <w:rPr>
                <w:rFonts w:ascii="Futura Lt BT" w:hAnsi="Futura Lt BT"/>
                <w:b/>
                <w:color w:val="004B85"/>
                <w:szCs w:val="20"/>
              </w:rPr>
            </w:pPr>
            <w:r w:rsidRPr="00A62DE4">
              <w:rPr>
                <w:rFonts w:ascii="Futura Lt BT" w:hAnsi="Futura Lt BT"/>
                <w:b/>
                <w:color w:val="004B85"/>
                <w:szCs w:val="20"/>
              </w:rPr>
              <w:t>Principales indicadores macroeconómicos</w:t>
            </w:r>
          </w:p>
        </w:tc>
      </w:tr>
      <w:tr w:rsidR="00012F0A" w:rsidRPr="00BD3EE9" w:rsidTr="00A62DE4">
        <w:trPr>
          <w:tblHeader/>
        </w:trPr>
        <w:tc>
          <w:tcPr>
            <w:tcW w:w="9309" w:type="dxa"/>
            <w:vAlign w:val="center"/>
          </w:tcPr>
          <w:p w:rsidR="00012F0A" w:rsidRPr="00BD3EE9" w:rsidRDefault="002E1506" w:rsidP="009A4A32">
            <w:pPr>
              <w:jc w:val="center"/>
              <w:rPr>
                <w:rFonts w:ascii="Futura Lt BT" w:hAnsi="Futura Lt BT"/>
                <w:sz w:val="24"/>
                <w:szCs w:val="24"/>
              </w:rPr>
            </w:pPr>
            <w:r w:rsidRPr="000D544C">
              <w:rPr>
                <w:rFonts w:ascii="Futura Lt BT" w:hAnsi="Futura Lt BT"/>
                <w:noProof/>
                <w:sz w:val="24"/>
                <w:szCs w:val="24"/>
              </w:rPr>
              <w:drawing>
                <wp:inline distT="0" distB="0" distL="0" distR="0" wp14:anchorId="1BEA161B" wp14:editId="7E5EC91F">
                  <wp:extent cx="5771515" cy="332232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1515" cy="3322320"/>
                          </a:xfrm>
                          <a:prstGeom prst="rect">
                            <a:avLst/>
                          </a:prstGeom>
                          <a:noFill/>
                          <a:ln>
                            <a:noFill/>
                          </a:ln>
                        </pic:spPr>
                      </pic:pic>
                    </a:graphicData>
                  </a:graphic>
                </wp:inline>
              </w:drawing>
            </w:r>
          </w:p>
        </w:tc>
      </w:tr>
      <w:tr w:rsidR="00012F0A" w:rsidRPr="00BD3EE9" w:rsidTr="00A62DE4">
        <w:trPr>
          <w:tblHeader/>
        </w:trPr>
        <w:tc>
          <w:tcPr>
            <w:tcW w:w="9309" w:type="dxa"/>
          </w:tcPr>
          <w:p w:rsidR="002E1506" w:rsidRPr="0093756F" w:rsidRDefault="002E1506" w:rsidP="002E1506">
            <w:pPr>
              <w:jc w:val="both"/>
              <w:rPr>
                <w:rFonts w:ascii="Futura Lt BT" w:hAnsi="Futura Lt BT"/>
                <w:sz w:val="18"/>
                <w:szCs w:val="24"/>
              </w:rPr>
            </w:pPr>
            <w:r w:rsidRPr="0093756F">
              <w:rPr>
                <w:rFonts w:ascii="Futura Lt BT" w:hAnsi="Futura Lt BT"/>
                <w:sz w:val="18"/>
                <w:szCs w:val="24"/>
              </w:rPr>
              <w:t>1/: Cartera de crédito bruta de bancos, financieras y microfinancieras. No incluye intereses y comisiones por cobrar.</w:t>
            </w:r>
          </w:p>
          <w:p w:rsidR="00012F0A" w:rsidRPr="00BD3EE9" w:rsidRDefault="00A62DE4" w:rsidP="009A4A32">
            <w:pPr>
              <w:jc w:val="both"/>
              <w:rPr>
                <w:rFonts w:ascii="Futura Lt BT" w:hAnsi="Futura Lt BT"/>
                <w:sz w:val="24"/>
                <w:szCs w:val="24"/>
              </w:rPr>
            </w:pPr>
            <w:r w:rsidRPr="00A62DE4">
              <w:rPr>
                <w:rFonts w:ascii="Futura Lt BT" w:hAnsi="Futura Lt BT"/>
                <w:sz w:val="20"/>
                <w:szCs w:val="24"/>
              </w:rPr>
              <w:t>Fuente: BCN.</w:t>
            </w:r>
          </w:p>
        </w:tc>
      </w:tr>
    </w:tbl>
    <w:p w:rsidR="00012F0A" w:rsidRPr="00FA1EE0" w:rsidRDefault="00012F0A" w:rsidP="00C20AE1">
      <w:pPr>
        <w:spacing w:line="278" w:lineRule="auto"/>
        <w:jc w:val="center"/>
        <w:rPr>
          <w:rFonts w:ascii="Futura Lt BT" w:hAnsi="Futura Lt BT"/>
          <w:lang w:val="es-MX"/>
        </w:rPr>
      </w:pPr>
    </w:p>
    <w:p w:rsidR="00963BFE" w:rsidRPr="00FA1EE0" w:rsidRDefault="00963BFE" w:rsidP="005A142F">
      <w:pPr>
        <w:spacing w:line="278" w:lineRule="auto"/>
        <w:jc w:val="both"/>
        <w:rPr>
          <w:rFonts w:ascii="Futura Lt BT" w:hAnsi="Futura Lt BT"/>
          <w:lang w:val="es-MX"/>
        </w:rPr>
      </w:pPr>
    </w:p>
    <w:p w:rsidR="004F70FC" w:rsidRPr="00FA1EE0" w:rsidRDefault="004F70FC" w:rsidP="005A142F">
      <w:pPr>
        <w:spacing w:line="278" w:lineRule="auto"/>
        <w:jc w:val="both"/>
        <w:rPr>
          <w:rFonts w:ascii="Futura Lt BT" w:hAnsi="Futura Lt BT"/>
          <w:bCs/>
          <w:lang w:val="es-MX"/>
        </w:rPr>
      </w:pPr>
    </w:p>
    <w:p w:rsidR="00A4130C" w:rsidRPr="00FA1EE0" w:rsidRDefault="00A4130C" w:rsidP="005A142F">
      <w:pPr>
        <w:autoSpaceDE w:val="0"/>
        <w:autoSpaceDN w:val="0"/>
        <w:adjustRightInd w:val="0"/>
        <w:snapToGrid w:val="0"/>
        <w:spacing w:line="278" w:lineRule="auto"/>
        <w:jc w:val="both"/>
        <w:rPr>
          <w:rFonts w:ascii="Futura Lt BT" w:hAnsi="Futura Lt BT"/>
        </w:rPr>
      </w:pPr>
      <w:r w:rsidRPr="00FA1EE0">
        <w:rPr>
          <w:rFonts w:ascii="Futura Lt BT" w:hAnsi="Futura Lt BT"/>
        </w:rPr>
        <w:br w:type="page"/>
      </w:r>
    </w:p>
    <w:p w:rsidR="00A4130C" w:rsidRPr="00FA1EE0" w:rsidRDefault="00904A10" w:rsidP="005A142F">
      <w:pPr>
        <w:autoSpaceDE w:val="0"/>
        <w:autoSpaceDN w:val="0"/>
        <w:adjustRightInd w:val="0"/>
        <w:snapToGrid w:val="0"/>
        <w:spacing w:line="278" w:lineRule="auto"/>
        <w:jc w:val="both"/>
        <w:rPr>
          <w:rFonts w:ascii="Futura Lt BT" w:hAnsi="Futura Lt BT"/>
        </w:rPr>
      </w:pPr>
      <w:r>
        <w:rPr>
          <w:noProof/>
          <w:sz w:val="40"/>
          <w:szCs w:val="40"/>
          <w:lang w:eastAsia="es-NI"/>
        </w:rPr>
        <w:lastRenderedPageBreak/>
        <w:drawing>
          <wp:anchor distT="0" distB="0" distL="114300" distR="114300" simplePos="0" relativeHeight="251673600" behindDoc="1" locked="0" layoutInCell="1" allowOverlap="1" wp14:anchorId="2FC6AC24" wp14:editId="73C69D80">
            <wp:simplePos x="0" y="0"/>
            <wp:positionH relativeFrom="column">
              <wp:posOffset>-914400</wp:posOffset>
            </wp:positionH>
            <wp:positionV relativeFrom="paragraph">
              <wp:posOffset>-857250</wp:posOffset>
            </wp:positionV>
            <wp:extent cx="7768590" cy="10053468"/>
            <wp:effectExtent l="0" t="0" r="3810" b="508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_propuesta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8590" cy="10053468"/>
                    </a:xfrm>
                    <a:prstGeom prst="rect">
                      <a:avLst/>
                    </a:prstGeom>
                  </pic:spPr>
                </pic:pic>
              </a:graphicData>
            </a:graphic>
            <wp14:sizeRelH relativeFrom="page">
              <wp14:pctWidth>0</wp14:pctWidth>
            </wp14:sizeRelH>
            <wp14:sizeRelV relativeFrom="page">
              <wp14:pctHeight>0</wp14:pctHeight>
            </wp14:sizeRelV>
          </wp:anchor>
        </w:drawing>
      </w:r>
    </w:p>
    <w:p w:rsidR="00A4130C" w:rsidRPr="00FA1EE0" w:rsidRDefault="00A4130C" w:rsidP="005A142F">
      <w:pPr>
        <w:autoSpaceDE w:val="0"/>
        <w:autoSpaceDN w:val="0"/>
        <w:adjustRightInd w:val="0"/>
        <w:snapToGrid w:val="0"/>
        <w:spacing w:line="278" w:lineRule="auto"/>
        <w:jc w:val="both"/>
        <w:rPr>
          <w:rFonts w:ascii="Futura Lt BT" w:hAnsi="Futura Lt BT"/>
        </w:rPr>
      </w:pPr>
    </w:p>
    <w:p w:rsidR="00A4130C" w:rsidRPr="00FA1EE0" w:rsidRDefault="00A4130C" w:rsidP="005A142F">
      <w:pPr>
        <w:autoSpaceDE w:val="0"/>
        <w:autoSpaceDN w:val="0"/>
        <w:adjustRightInd w:val="0"/>
        <w:snapToGrid w:val="0"/>
        <w:spacing w:line="278" w:lineRule="auto"/>
        <w:jc w:val="both"/>
        <w:rPr>
          <w:rFonts w:ascii="Futura Lt BT" w:hAnsi="Futura Lt BT"/>
        </w:rPr>
      </w:pPr>
    </w:p>
    <w:p w:rsidR="00A4130C" w:rsidRPr="00FA1EE0" w:rsidRDefault="00A4130C" w:rsidP="005A142F">
      <w:pPr>
        <w:autoSpaceDE w:val="0"/>
        <w:autoSpaceDN w:val="0"/>
        <w:adjustRightInd w:val="0"/>
        <w:snapToGrid w:val="0"/>
        <w:spacing w:line="278" w:lineRule="auto"/>
        <w:jc w:val="both"/>
        <w:rPr>
          <w:rFonts w:ascii="Futura Lt BT" w:hAnsi="Futura Lt BT"/>
          <w:b/>
          <w:color w:val="004B85"/>
        </w:rPr>
      </w:pPr>
    </w:p>
    <w:p w:rsidR="00B508A5" w:rsidRPr="00FA1EE0" w:rsidRDefault="00B508A5" w:rsidP="005A142F">
      <w:pPr>
        <w:spacing w:line="278" w:lineRule="auto"/>
        <w:rPr>
          <w:rFonts w:ascii="Futura Lt BT" w:hAnsi="Futura Lt BT" w:cs="Times New Roman"/>
        </w:rPr>
      </w:pPr>
    </w:p>
    <w:p w:rsidR="0056275E" w:rsidRPr="00FA1EE0" w:rsidRDefault="0056275E" w:rsidP="005A142F">
      <w:pPr>
        <w:spacing w:line="278" w:lineRule="auto"/>
        <w:contextualSpacing/>
        <w:jc w:val="both"/>
        <w:rPr>
          <w:rFonts w:ascii="Futura Lt BT" w:hAnsi="Futura Lt BT"/>
        </w:rPr>
      </w:pPr>
    </w:p>
    <w:sectPr w:rsidR="0056275E" w:rsidRPr="00FA1EE0" w:rsidSect="00AB6D9C">
      <w:headerReference w:type="default" r:id="rId13"/>
      <w:footerReference w:type="default" r:id="rId14"/>
      <w:pgSz w:w="12240" w:h="15840" w:code="1"/>
      <w:pgMar w:top="1361"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2A56" w:rsidRDefault="00B02A56" w:rsidP="00535192">
      <w:pPr>
        <w:spacing w:after="0" w:line="240" w:lineRule="auto"/>
      </w:pPr>
      <w:r>
        <w:separator/>
      </w:r>
    </w:p>
  </w:endnote>
  <w:endnote w:type="continuationSeparator" w:id="0">
    <w:p w:rsidR="00B02A56" w:rsidRDefault="00B02A56" w:rsidP="005351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utura Lt BT">
    <w:altName w:val="Century Gothic"/>
    <w:panose1 w:val="020B0402020204020303"/>
    <w:charset w:val="00"/>
    <w:family w:val="swiss"/>
    <w:pitch w:val="variable"/>
    <w:sig w:usb0="00000087" w:usb1="00000000" w:usb2="00000000" w:usb3="00000000" w:csb0="0000001B"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Md BT">
    <w:altName w:val="Century Gothic"/>
    <w:panose1 w:val="020B0602020204020303"/>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Futura Lt BT" w:hAnsi="Futura Lt BT"/>
      </w:rPr>
      <w:id w:val="-796530429"/>
      <w:docPartObj>
        <w:docPartGallery w:val="Page Numbers (Bottom of Page)"/>
        <w:docPartUnique/>
      </w:docPartObj>
    </w:sdtPr>
    <w:sdtEndPr/>
    <w:sdtContent>
      <w:p w:rsidR="00231E23" w:rsidRPr="002675E8" w:rsidRDefault="00231E23" w:rsidP="00AF085A">
        <w:pPr>
          <w:pStyle w:val="Piedepgina"/>
          <w:ind w:left="6372"/>
          <w:jc w:val="center"/>
          <w:rPr>
            <w:rFonts w:ascii="Futura Lt BT" w:hAnsi="Futura Lt BT"/>
            <w:color w:val="FFFFFF" w:themeColor="background1"/>
            <w:sz w:val="28"/>
            <w:szCs w:val="28"/>
          </w:rPr>
        </w:pPr>
        <w:r w:rsidRPr="002675E8">
          <w:rPr>
            <w:rFonts w:ascii="Futura Lt BT" w:hAnsi="Futura Lt BT"/>
            <w:b/>
            <w:i/>
            <w:noProof/>
            <w:color w:val="004B85"/>
            <w:sz w:val="28"/>
            <w:szCs w:val="28"/>
            <w:lang w:eastAsia="es-NI"/>
          </w:rPr>
          <mc:AlternateContent>
            <mc:Choice Requires="wps">
              <w:drawing>
                <wp:anchor distT="0" distB="0" distL="114300" distR="114300" simplePos="0" relativeHeight="251661312" behindDoc="0" locked="0" layoutInCell="1" allowOverlap="1" wp14:anchorId="176B5AFE" wp14:editId="0C8E8C9B">
                  <wp:simplePos x="0" y="0"/>
                  <wp:positionH relativeFrom="margin">
                    <wp:posOffset>4183380</wp:posOffset>
                  </wp:positionH>
                  <wp:positionV relativeFrom="page">
                    <wp:posOffset>9195435</wp:posOffset>
                  </wp:positionV>
                  <wp:extent cx="2664000" cy="13970"/>
                  <wp:effectExtent l="0" t="0" r="0" b="0"/>
                  <wp:wrapNone/>
                  <wp:docPr id="2172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4000" cy="13970"/>
                          </a:xfrm>
                          <a:prstGeom prst="rect">
                            <a:avLst/>
                          </a:prstGeom>
                          <a:solidFill>
                            <a:srgbClr val="D5A10F"/>
                          </a:solidFill>
                          <a:ln>
                            <a:noFill/>
                          </a:ln>
                        </wps:spPr>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50E578" id="Rectangle 1" o:spid="_x0000_s1026" style="position:absolute;margin-left:329.4pt;margin-top:724.05pt;width:209.75pt;height:1.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" fillcolor="#d5a10f" stroked="f">
                  <v:textbox inset=",1mm,,1mm"/>
                  <w10:wrap anchorx="margin" anchory="page"/>
                </v:rect>
              </w:pict>
            </mc:Fallback>
          </mc:AlternateContent>
        </w:r>
        <w:r w:rsidR="00A72DB6">
          <w:rPr>
            <w:rFonts w:ascii="Futura Lt BT" w:hAnsi="Futura Lt BT"/>
            <w:color w:val="004B85"/>
            <w:sz w:val="28"/>
            <w:szCs w:val="28"/>
          </w:rPr>
          <w:t>Octubre</w:t>
        </w:r>
        <w:r w:rsidRPr="002675E8">
          <w:rPr>
            <w:rFonts w:ascii="Futura Lt BT" w:hAnsi="Futura Lt BT"/>
            <w:color w:val="004B85"/>
            <w:sz w:val="28"/>
            <w:szCs w:val="28"/>
          </w:rPr>
          <w:t xml:space="preserve"> 202</w:t>
        </w:r>
        <w:r w:rsidR="00E42D46">
          <w:rPr>
            <w:rFonts w:ascii="Futura Lt BT" w:hAnsi="Futura Lt BT"/>
            <w:color w:val="004B85"/>
            <w:sz w:val="28"/>
            <w:szCs w:val="28"/>
          </w:rPr>
          <w:t>4</w:t>
        </w:r>
        <w:r w:rsidRPr="002675E8">
          <w:rPr>
            <w:rFonts w:ascii="Futura Lt BT" w:hAnsi="Futura Lt BT"/>
            <w:color w:val="004B85"/>
            <w:sz w:val="28"/>
            <w:szCs w:val="28"/>
          </w:rPr>
          <w:tab/>
        </w:r>
        <w:r w:rsidRPr="002675E8">
          <w:rPr>
            <w:rFonts w:ascii="Futura Lt BT" w:hAnsi="Futura Lt BT"/>
            <w:color w:val="FFFFFF" w:themeColor="background1"/>
            <w:sz w:val="28"/>
            <w:szCs w:val="28"/>
            <w:highlight w:val="darkBlue"/>
          </w:rPr>
          <w:fldChar w:fldCharType="begin"/>
        </w:r>
        <w:r w:rsidRPr="002675E8">
          <w:rPr>
            <w:rFonts w:ascii="Futura Lt BT" w:hAnsi="Futura Lt BT"/>
            <w:color w:val="FFFFFF" w:themeColor="background1"/>
            <w:sz w:val="28"/>
            <w:szCs w:val="28"/>
            <w:highlight w:val="darkBlue"/>
          </w:rPr>
          <w:instrText>PAGE   \* MERGEFORMAT</w:instrText>
        </w:r>
        <w:r w:rsidRPr="002675E8">
          <w:rPr>
            <w:rFonts w:ascii="Futura Lt BT" w:hAnsi="Futura Lt BT"/>
            <w:color w:val="FFFFFF" w:themeColor="background1"/>
            <w:sz w:val="28"/>
            <w:szCs w:val="28"/>
            <w:highlight w:val="darkBlue"/>
          </w:rPr>
          <w:fldChar w:fldCharType="separate"/>
        </w:r>
        <w:r w:rsidR="000B4628" w:rsidRPr="000B4628">
          <w:rPr>
            <w:rFonts w:ascii="Futura Lt BT" w:hAnsi="Futura Lt BT"/>
            <w:noProof/>
            <w:color w:val="FFFFFF" w:themeColor="background1"/>
            <w:sz w:val="28"/>
            <w:szCs w:val="28"/>
            <w:highlight w:val="darkBlue"/>
            <w:lang w:val="es-ES"/>
          </w:rPr>
          <w:t>5</w:t>
        </w:r>
        <w:r w:rsidRPr="002675E8">
          <w:rPr>
            <w:rFonts w:ascii="Futura Lt BT" w:hAnsi="Futura Lt BT"/>
            <w:color w:val="FFFFFF" w:themeColor="background1"/>
            <w:sz w:val="28"/>
            <w:szCs w:val="28"/>
            <w:highlight w:val="darkBlue"/>
          </w:rPr>
          <w:fldChar w:fldCharType="end"/>
        </w:r>
      </w:p>
    </w:sdtContent>
  </w:sdt>
  <w:p w:rsidR="00231E23" w:rsidRDefault="00231E2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2A56" w:rsidRDefault="00B02A56" w:rsidP="00535192">
      <w:pPr>
        <w:spacing w:after="0" w:line="240" w:lineRule="auto"/>
      </w:pPr>
      <w:r>
        <w:separator/>
      </w:r>
    </w:p>
  </w:footnote>
  <w:footnote w:type="continuationSeparator" w:id="0">
    <w:p w:rsidR="00B02A56" w:rsidRDefault="00B02A56" w:rsidP="005351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1E23" w:rsidRDefault="00231E23" w:rsidP="00A8493C">
    <w:pPr>
      <w:pStyle w:val="Encabezado"/>
      <w:jc w:val="right"/>
    </w:pPr>
    <w:r w:rsidRPr="00167CE7">
      <w:rPr>
        <w:rFonts w:ascii="Futura Md BT" w:hAnsi="Futura Md BT"/>
        <w:b/>
        <w:i/>
        <w:noProof/>
        <w:color w:val="004B85"/>
        <w:sz w:val="28"/>
        <w:szCs w:val="28"/>
        <w:lang w:eastAsia="es-NI"/>
      </w:rPr>
      <mc:AlternateContent>
        <mc:Choice Requires="wps">
          <w:drawing>
            <wp:anchor distT="0" distB="0" distL="114300" distR="114300" simplePos="0" relativeHeight="251659264" behindDoc="0" locked="0" layoutInCell="1" allowOverlap="1" wp14:anchorId="531E5829" wp14:editId="4E2909D7">
              <wp:simplePos x="0" y="0"/>
              <wp:positionH relativeFrom="margin">
                <wp:posOffset>2766695</wp:posOffset>
              </wp:positionH>
              <wp:positionV relativeFrom="page">
                <wp:posOffset>704215</wp:posOffset>
              </wp:positionV>
              <wp:extent cx="4104000" cy="14400"/>
              <wp:effectExtent l="0" t="0" r="0" b="0"/>
              <wp:wrapNone/>
              <wp:docPr id="3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104000" cy="14400"/>
                      </a:xfrm>
                      <a:prstGeom prst="rect">
                        <a:avLst/>
                      </a:prstGeom>
                      <a:solidFill>
                        <a:srgbClr val="D5A10F"/>
                      </a:solidFill>
                      <a:ln>
                        <a:noFill/>
                      </a:ln>
                    </wps:spPr>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ECA68" id="Rectangle 1" o:spid="_x0000_s1026" style="position:absolute;margin-left:217.85pt;margin-top:55.45pt;width:323.15pt;height:1.15pt;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" fillcolor="#d5a10f" stroked="f">
              <v:textbox inset=",1mm,,1mm"/>
              <w10:wrap anchorx="margin" anchory="page"/>
            </v:rect>
          </w:pict>
        </mc:Fallback>
      </mc:AlternateContent>
    </w:r>
  </w:p>
  <w:p w:rsidR="00231E23" w:rsidRDefault="00231E2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C4A69"/>
    <w:multiLevelType w:val="hybridMultilevel"/>
    <w:tmpl w:val="ED0EC02A"/>
    <w:lvl w:ilvl="0" w:tplc="4C0A000F">
      <w:start w:val="1"/>
      <w:numFmt w:val="decimal"/>
      <w:lvlText w:val="%1."/>
      <w:lvlJc w:val="left"/>
      <w:pPr>
        <w:ind w:left="720" w:hanging="360"/>
      </w:pPr>
    </w:lvl>
    <w:lvl w:ilvl="1" w:tplc="4C0A0019">
      <w:start w:val="1"/>
      <w:numFmt w:val="lowerLetter"/>
      <w:lvlText w:val="%2."/>
      <w:lvlJc w:val="left"/>
      <w:pPr>
        <w:ind w:left="1440" w:hanging="360"/>
      </w:pPr>
    </w:lvl>
    <w:lvl w:ilvl="2" w:tplc="83ACD1FC">
      <w:start w:val="1"/>
      <w:numFmt w:val="upperRoman"/>
      <w:lvlText w:val="%3."/>
      <w:lvlJc w:val="left"/>
      <w:pPr>
        <w:ind w:left="3060" w:hanging="1080"/>
      </w:pPr>
      <w:rPr>
        <w:rFonts w:hint="default"/>
      </w:r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 w15:restartNumberingAfterBreak="0">
    <w:nsid w:val="052B7ADD"/>
    <w:multiLevelType w:val="hybridMultilevel"/>
    <w:tmpl w:val="CCB25814"/>
    <w:lvl w:ilvl="0" w:tplc="4C0A000F">
      <w:start w:val="1"/>
      <w:numFmt w:val="decimal"/>
      <w:lvlText w:val="%1."/>
      <w:lvlJc w:val="left"/>
      <w:pPr>
        <w:ind w:left="360" w:hanging="360"/>
      </w:pPr>
    </w:lvl>
    <w:lvl w:ilvl="1" w:tplc="4C0A0019">
      <w:start w:val="1"/>
      <w:numFmt w:val="lowerLetter"/>
      <w:lvlText w:val="%2."/>
      <w:lvlJc w:val="left"/>
      <w:pPr>
        <w:ind w:left="1080" w:hanging="360"/>
      </w:pPr>
    </w:lvl>
    <w:lvl w:ilvl="2" w:tplc="4C0A001B">
      <w:start w:val="1"/>
      <w:numFmt w:val="lowerRoman"/>
      <w:lvlText w:val="%3."/>
      <w:lvlJc w:val="right"/>
      <w:pPr>
        <w:ind w:left="1800" w:hanging="180"/>
      </w:pPr>
    </w:lvl>
    <w:lvl w:ilvl="3" w:tplc="4C0A000F">
      <w:start w:val="1"/>
      <w:numFmt w:val="decimal"/>
      <w:lvlText w:val="%4."/>
      <w:lvlJc w:val="left"/>
      <w:pPr>
        <w:ind w:left="2520" w:hanging="360"/>
      </w:pPr>
    </w:lvl>
    <w:lvl w:ilvl="4" w:tplc="4C0A0019">
      <w:start w:val="1"/>
      <w:numFmt w:val="lowerLetter"/>
      <w:lvlText w:val="%5."/>
      <w:lvlJc w:val="left"/>
      <w:pPr>
        <w:ind w:left="3240" w:hanging="360"/>
      </w:pPr>
    </w:lvl>
    <w:lvl w:ilvl="5" w:tplc="4C0A001B">
      <w:start w:val="1"/>
      <w:numFmt w:val="lowerRoman"/>
      <w:lvlText w:val="%6."/>
      <w:lvlJc w:val="right"/>
      <w:pPr>
        <w:ind w:left="3960" w:hanging="180"/>
      </w:pPr>
    </w:lvl>
    <w:lvl w:ilvl="6" w:tplc="4C0A000F">
      <w:start w:val="1"/>
      <w:numFmt w:val="decimal"/>
      <w:lvlText w:val="%7."/>
      <w:lvlJc w:val="left"/>
      <w:pPr>
        <w:ind w:left="4680" w:hanging="360"/>
      </w:pPr>
    </w:lvl>
    <w:lvl w:ilvl="7" w:tplc="4C0A0019">
      <w:start w:val="1"/>
      <w:numFmt w:val="lowerLetter"/>
      <w:lvlText w:val="%8."/>
      <w:lvlJc w:val="left"/>
      <w:pPr>
        <w:ind w:left="5400" w:hanging="360"/>
      </w:pPr>
    </w:lvl>
    <w:lvl w:ilvl="8" w:tplc="4C0A001B">
      <w:start w:val="1"/>
      <w:numFmt w:val="lowerRoman"/>
      <w:lvlText w:val="%9."/>
      <w:lvlJc w:val="right"/>
      <w:pPr>
        <w:ind w:left="6120" w:hanging="180"/>
      </w:pPr>
    </w:lvl>
  </w:abstractNum>
  <w:abstractNum w:abstractNumId="2" w15:restartNumberingAfterBreak="0">
    <w:nsid w:val="0FDB77B1"/>
    <w:multiLevelType w:val="hybridMultilevel"/>
    <w:tmpl w:val="1B760086"/>
    <w:lvl w:ilvl="0" w:tplc="4C0A000F">
      <w:start w:val="1"/>
      <w:numFmt w:val="decimal"/>
      <w:lvlText w:val="%1."/>
      <w:lvlJc w:val="left"/>
      <w:pPr>
        <w:ind w:left="360" w:hanging="360"/>
      </w:pPr>
      <w:rPr>
        <w:rFonts w:hint="default"/>
      </w:rPr>
    </w:lvl>
    <w:lvl w:ilvl="1" w:tplc="4C0A0019" w:tentative="1">
      <w:start w:val="1"/>
      <w:numFmt w:val="lowerLetter"/>
      <w:lvlText w:val="%2."/>
      <w:lvlJc w:val="left"/>
      <w:pPr>
        <w:ind w:left="1080" w:hanging="360"/>
      </w:pPr>
    </w:lvl>
    <w:lvl w:ilvl="2" w:tplc="4C0A001B" w:tentative="1">
      <w:start w:val="1"/>
      <w:numFmt w:val="lowerRoman"/>
      <w:lvlText w:val="%3."/>
      <w:lvlJc w:val="right"/>
      <w:pPr>
        <w:ind w:left="1800" w:hanging="180"/>
      </w:pPr>
    </w:lvl>
    <w:lvl w:ilvl="3" w:tplc="4C0A000F" w:tentative="1">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3" w15:restartNumberingAfterBreak="0">
    <w:nsid w:val="15627769"/>
    <w:multiLevelType w:val="hybridMultilevel"/>
    <w:tmpl w:val="8EDE481C"/>
    <w:lvl w:ilvl="0" w:tplc="4C0A0005">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4" w15:restartNumberingAfterBreak="0">
    <w:nsid w:val="18162E59"/>
    <w:multiLevelType w:val="hybridMultilevel"/>
    <w:tmpl w:val="F364F3DC"/>
    <w:lvl w:ilvl="0" w:tplc="2FB23802">
      <w:start w:val="1"/>
      <w:numFmt w:val="lowerRoman"/>
      <w:lvlText w:val="%1)"/>
      <w:lvlJc w:val="left"/>
      <w:pPr>
        <w:ind w:left="1080" w:hanging="72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5" w15:restartNumberingAfterBreak="0">
    <w:nsid w:val="1B281387"/>
    <w:multiLevelType w:val="hybridMultilevel"/>
    <w:tmpl w:val="CCB25814"/>
    <w:lvl w:ilvl="0" w:tplc="4C0A000F">
      <w:start w:val="1"/>
      <w:numFmt w:val="decimal"/>
      <w:lvlText w:val="%1."/>
      <w:lvlJc w:val="left"/>
      <w:pPr>
        <w:ind w:left="360" w:hanging="360"/>
      </w:pPr>
    </w:lvl>
    <w:lvl w:ilvl="1" w:tplc="4C0A0019">
      <w:start w:val="1"/>
      <w:numFmt w:val="lowerLetter"/>
      <w:lvlText w:val="%2."/>
      <w:lvlJc w:val="left"/>
      <w:pPr>
        <w:ind w:left="1080" w:hanging="360"/>
      </w:pPr>
    </w:lvl>
    <w:lvl w:ilvl="2" w:tplc="4C0A001B">
      <w:start w:val="1"/>
      <w:numFmt w:val="lowerRoman"/>
      <w:lvlText w:val="%3."/>
      <w:lvlJc w:val="right"/>
      <w:pPr>
        <w:ind w:left="1800" w:hanging="180"/>
      </w:pPr>
    </w:lvl>
    <w:lvl w:ilvl="3" w:tplc="4C0A000F">
      <w:start w:val="1"/>
      <w:numFmt w:val="decimal"/>
      <w:lvlText w:val="%4."/>
      <w:lvlJc w:val="left"/>
      <w:pPr>
        <w:ind w:left="2520" w:hanging="360"/>
      </w:pPr>
    </w:lvl>
    <w:lvl w:ilvl="4" w:tplc="4C0A0019">
      <w:start w:val="1"/>
      <w:numFmt w:val="lowerLetter"/>
      <w:lvlText w:val="%5."/>
      <w:lvlJc w:val="left"/>
      <w:pPr>
        <w:ind w:left="3240" w:hanging="360"/>
      </w:pPr>
    </w:lvl>
    <w:lvl w:ilvl="5" w:tplc="4C0A001B">
      <w:start w:val="1"/>
      <w:numFmt w:val="lowerRoman"/>
      <w:lvlText w:val="%6."/>
      <w:lvlJc w:val="right"/>
      <w:pPr>
        <w:ind w:left="3960" w:hanging="180"/>
      </w:pPr>
    </w:lvl>
    <w:lvl w:ilvl="6" w:tplc="4C0A000F">
      <w:start w:val="1"/>
      <w:numFmt w:val="decimal"/>
      <w:lvlText w:val="%7."/>
      <w:lvlJc w:val="left"/>
      <w:pPr>
        <w:ind w:left="4680" w:hanging="360"/>
      </w:pPr>
    </w:lvl>
    <w:lvl w:ilvl="7" w:tplc="4C0A0019">
      <w:start w:val="1"/>
      <w:numFmt w:val="lowerLetter"/>
      <w:lvlText w:val="%8."/>
      <w:lvlJc w:val="left"/>
      <w:pPr>
        <w:ind w:left="5400" w:hanging="360"/>
      </w:pPr>
    </w:lvl>
    <w:lvl w:ilvl="8" w:tplc="4C0A001B">
      <w:start w:val="1"/>
      <w:numFmt w:val="lowerRoman"/>
      <w:lvlText w:val="%9."/>
      <w:lvlJc w:val="right"/>
      <w:pPr>
        <w:ind w:left="6120" w:hanging="180"/>
      </w:pPr>
    </w:lvl>
  </w:abstractNum>
  <w:abstractNum w:abstractNumId="6" w15:restartNumberingAfterBreak="0">
    <w:nsid w:val="27924B2A"/>
    <w:multiLevelType w:val="hybridMultilevel"/>
    <w:tmpl w:val="C34487DC"/>
    <w:lvl w:ilvl="0" w:tplc="4C0A000F">
      <w:start w:val="1"/>
      <w:numFmt w:val="decimal"/>
      <w:lvlText w:val="%1."/>
      <w:lvlJc w:val="left"/>
      <w:pPr>
        <w:ind w:left="360" w:hanging="360"/>
      </w:pPr>
      <w:rPr>
        <w:rFonts w:hint="default"/>
      </w:rPr>
    </w:lvl>
    <w:lvl w:ilvl="1" w:tplc="4C0A0019" w:tentative="1">
      <w:start w:val="1"/>
      <w:numFmt w:val="lowerLetter"/>
      <w:lvlText w:val="%2."/>
      <w:lvlJc w:val="left"/>
      <w:pPr>
        <w:ind w:left="1080" w:hanging="360"/>
      </w:pPr>
    </w:lvl>
    <w:lvl w:ilvl="2" w:tplc="4C0A001B" w:tentative="1">
      <w:start w:val="1"/>
      <w:numFmt w:val="lowerRoman"/>
      <w:lvlText w:val="%3."/>
      <w:lvlJc w:val="right"/>
      <w:pPr>
        <w:ind w:left="1800" w:hanging="180"/>
      </w:pPr>
    </w:lvl>
    <w:lvl w:ilvl="3" w:tplc="4C0A000F" w:tentative="1">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7" w15:restartNumberingAfterBreak="0">
    <w:nsid w:val="379920CB"/>
    <w:multiLevelType w:val="hybridMultilevel"/>
    <w:tmpl w:val="B84A7CA4"/>
    <w:lvl w:ilvl="0" w:tplc="4C0A000F">
      <w:start w:val="1"/>
      <w:numFmt w:val="decimal"/>
      <w:lvlText w:val="%1."/>
      <w:lvlJc w:val="left"/>
      <w:pPr>
        <w:ind w:left="720" w:hanging="720"/>
      </w:pPr>
    </w:lvl>
    <w:lvl w:ilvl="1" w:tplc="4C0A0019">
      <w:start w:val="1"/>
      <w:numFmt w:val="lowerLetter"/>
      <w:lvlText w:val="%2."/>
      <w:lvlJc w:val="left"/>
      <w:pPr>
        <w:ind w:left="1080" w:hanging="360"/>
      </w:pPr>
    </w:lvl>
    <w:lvl w:ilvl="2" w:tplc="4C0A001B">
      <w:start w:val="1"/>
      <w:numFmt w:val="lowerRoman"/>
      <w:lvlText w:val="%3."/>
      <w:lvlJc w:val="right"/>
      <w:pPr>
        <w:ind w:left="1800" w:hanging="180"/>
      </w:pPr>
    </w:lvl>
    <w:lvl w:ilvl="3" w:tplc="4C0A000F">
      <w:start w:val="1"/>
      <w:numFmt w:val="decimal"/>
      <w:lvlText w:val="%4."/>
      <w:lvlJc w:val="left"/>
      <w:pPr>
        <w:ind w:left="2520" w:hanging="360"/>
      </w:pPr>
    </w:lvl>
    <w:lvl w:ilvl="4" w:tplc="4C0A0019">
      <w:start w:val="1"/>
      <w:numFmt w:val="lowerLetter"/>
      <w:lvlText w:val="%5."/>
      <w:lvlJc w:val="left"/>
      <w:pPr>
        <w:ind w:left="3240" w:hanging="360"/>
      </w:pPr>
    </w:lvl>
    <w:lvl w:ilvl="5" w:tplc="4C0A001B">
      <w:start w:val="1"/>
      <w:numFmt w:val="lowerRoman"/>
      <w:lvlText w:val="%6."/>
      <w:lvlJc w:val="right"/>
      <w:pPr>
        <w:ind w:left="3960" w:hanging="180"/>
      </w:pPr>
    </w:lvl>
    <w:lvl w:ilvl="6" w:tplc="4C0A000F">
      <w:start w:val="1"/>
      <w:numFmt w:val="decimal"/>
      <w:lvlText w:val="%7."/>
      <w:lvlJc w:val="left"/>
      <w:pPr>
        <w:ind w:left="4680" w:hanging="360"/>
      </w:pPr>
    </w:lvl>
    <w:lvl w:ilvl="7" w:tplc="4C0A0019">
      <w:start w:val="1"/>
      <w:numFmt w:val="lowerLetter"/>
      <w:lvlText w:val="%8."/>
      <w:lvlJc w:val="left"/>
      <w:pPr>
        <w:ind w:left="5400" w:hanging="360"/>
      </w:pPr>
    </w:lvl>
    <w:lvl w:ilvl="8" w:tplc="4C0A001B">
      <w:start w:val="1"/>
      <w:numFmt w:val="lowerRoman"/>
      <w:lvlText w:val="%9."/>
      <w:lvlJc w:val="right"/>
      <w:pPr>
        <w:ind w:left="6120" w:hanging="180"/>
      </w:pPr>
    </w:lvl>
  </w:abstractNum>
  <w:abstractNum w:abstractNumId="8" w15:restartNumberingAfterBreak="0">
    <w:nsid w:val="39244A74"/>
    <w:multiLevelType w:val="hybridMultilevel"/>
    <w:tmpl w:val="F17E0EB6"/>
    <w:lvl w:ilvl="0" w:tplc="A3D476D8">
      <w:start w:val="1"/>
      <w:numFmt w:val="lowerRoman"/>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9" w15:restartNumberingAfterBreak="0">
    <w:nsid w:val="3DBA4C6B"/>
    <w:multiLevelType w:val="multilevel"/>
    <w:tmpl w:val="4D704312"/>
    <w:lvl w:ilvl="0">
      <w:start w:val="1"/>
      <w:numFmt w:val="decimal"/>
      <w:lvlText w:val="%1."/>
      <w:lvlJc w:val="left"/>
      <w:pPr>
        <w:ind w:left="720" w:hanging="720"/>
      </w:pPr>
      <w:rPr>
        <w:rFonts w:hint="default"/>
        <w:color w:val="1F4E79" w:themeColor="accent5" w:themeShade="80"/>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0" w15:restartNumberingAfterBreak="0">
    <w:nsid w:val="449549B2"/>
    <w:multiLevelType w:val="hybridMultilevel"/>
    <w:tmpl w:val="F1362D22"/>
    <w:lvl w:ilvl="0" w:tplc="4C0A000F">
      <w:start w:val="1"/>
      <w:numFmt w:val="decimal"/>
      <w:lvlText w:val="%1."/>
      <w:lvlJc w:val="left"/>
      <w:pPr>
        <w:ind w:left="720" w:hanging="360"/>
      </w:pPr>
      <w:rPr>
        <w:rFont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1" w15:restartNumberingAfterBreak="0">
    <w:nsid w:val="4B2D3C10"/>
    <w:multiLevelType w:val="hybridMultilevel"/>
    <w:tmpl w:val="E9F84FA6"/>
    <w:lvl w:ilvl="0" w:tplc="4C0A0005">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2" w15:restartNumberingAfterBreak="0">
    <w:nsid w:val="58E21AA3"/>
    <w:multiLevelType w:val="hybridMultilevel"/>
    <w:tmpl w:val="7DAEEA8E"/>
    <w:lvl w:ilvl="0" w:tplc="4C0A0001">
      <w:start w:val="1"/>
      <w:numFmt w:val="bullet"/>
      <w:lvlText w:val=""/>
      <w:lvlJc w:val="left"/>
      <w:pPr>
        <w:ind w:left="360" w:hanging="360"/>
      </w:pPr>
      <w:rPr>
        <w:rFonts w:ascii="Symbol" w:hAnsi="Symbol" w:hint="default"/>
      </w:rPr>
    </w:lvl>
    <w:lvl w:ilvl="1" w:tplc="4C0A0003" w:tentative="1">
      <w:start w:val="1"/>
      <w:numFmt w:val="bullet"/>
      <w:lvlText w:val="o"/>
      <w:lvlJc w:val="left"/>
      <w:pPr>
        <w:ind w:left="1080" w:hanging="360"/>
      </w:pPr>
      <w:rPr>
        <w:rFonts w:ascii="Courier New" w:hAnsi="Courier New" w:cs="Courier New" w:hint="default"/>
      </w:rPr>
    </w:lvl>
    <w:lvl w:ilvl="2" w:tplc="4C0A0005" w:tentative="1">
      <w:start w:val="1"/>
      <w:numFmt w:val="bullet"/>
      <w:lvlText w:val=""/>
      <w:lvlJc w:val="left"/>
      <w:pPr>
        <w:ind w:left="1800" w:hanging="360"/>
      </w:pPr>
      <w:rPr>
        <w:rFonts w:ascii="Wingdings" w:hAnsi="Wingdings" w:hint="default"/>
      </w:rPr>
    </w:lvl>
    <w:lvl w:ilvl="3" w:tplc="4C0A0001" w:tentative="1">
      <w:start w:val="1"/>
      <w:numFmt w:val="bullet"/>
      <w:lvlText w:val=""/>
      <w:lvlJc w:val="left"/>
      <w:pPr>
        <w:ind w:left="2520" w:hanging="360"/>
      </w:pPr>
      <w:rPr>
        <w:rFonts w:ascii="Symbol" w:hAnsi="Symbol" w:hint="default"/>
      </w:rPr>
    </w:lvl>
    <w:lvl w:ilvl="4" w:tplc="4C0A0003" w:tentative="1">
      <w:start w:val="1"/>
      <w:numFmt w:val="bullet"/>
      <w:lvlText w:val="o"/>
      <w:lvlJc w:val="left"/>
      <w:pPr>
        <w:ind w:left="3240" w:hanging="360"/>
      </w:pPr>
      <w:rPr>
        <w:rFonts w:ascii="Courier New" w:hAnsi="Courier New" w:cs="Courier New" w:hint="default"/>
      </w:rPr>
    </w:lvl>
    <w:lvl w:ilvl="5" w:tplc="4C0A0005" w:tentative="1">
      <w:start w:val="1"/>
      <w:numFmt w:val="bullet"/>
      <w:lvlText w:val=""/>
      <w:lvlJc w:val="left"/>
      <w:pPr>
        <w:ind w:left="3960" w:hanging="360"/>
      </w:pPr>
      <w:rPr>
        <w:rFonts w:ascii="Wingdings" w:hAnsi="Wingdings" w:hint="default"/>
      </w:rPr>
    </w:lvl>
    <w:lvl w:ilvl="6" w:tplc="4C0A0001" w:tentative="1">
      <w:start w:val="1"/>
      <w:numFmt w:val="bullet"/>
      <w:lvlText w:val=""/>
      <w:lvlJc w:val="left"/>
      <w:pPr>
        <w:ind w:left="4680" w:hanging="360"/>
      </w:pPr>
      <w:rPr>
        <w:rFonts w:ascii="Symbol" w:hAnsi="Symbol" w:hint="default"/>
      </w:rPr>
    </w:lvl>
    <w:lvl w:ilvl="7" w:tplc="4C0A0003" w:tentative="1">
      <w:start w:val="1"/>
      <w:numFmt w:val="bullet"/>
      <w:lvlText w:val="o"/>
      <w:lvlJc w:val="left"/>
      <w:pPr>
        <w:ind w:left="5400" w:hanging="360"/>
      </w:pPr>
      <w:rPr>
        <w:rFonts w:ascii="Courier New" w:hAnsi="Courier New" w:cs="Courier New" w:hint="default"/>
      </w:rPr>
    </w:lvl>
    <w:lvl w:ilvl="8" w:tplc="4C0A0005" w:tentative="1">
      <w:start w:val="1"/>
      <w:numFmt w:val="bullet"/>
      <w:lvlText w:val=""/>
      <w:lvlJc w:val="left"/>
      <w:pPr>
        <w:ind w:left="6120" w:hanging="360"/>
      </w:pPr>
      <w:rPr>
        <w:rFonts w:ascii="Wingdings" w:hAnsi="Wingdings" w:hint="default"/>
      </w:rPr>
    </w:lvl>
  </w:abstractNum>
  <w:abstractNum w:abstractNumId="13" w15:restartNumberingAfterBreak="0">
    <w:nsid w:val="5A5B2A20"/>
    <w:multiLevelType w:val="hybridMultilevel"/>
    <w:tmpl w:val="73283922"/>
    <w:lvl w:ilvl="0" w:tplc="5F081D24">
      <w:start w:val="1"/>
      <w:numFmt w:val="lowerRoman"/>
      <w:lvlText w:val="%1)"/>
      <w:lvlJc w:val="left"/>
      <w:pPr>
        <w:ind w:left="1080" w:hanging="72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4" w15:restartNumberingAfterBreak="0">
    <w:nsid w:val="68D053A8"/>
    <w:multiLevelType w:val="hybridMultilevel"/>
    <w:tmpl w:val="3C2CF2C0"/>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5" w15:restartNumberingAfterBreak="0">
    <w:nsid w:val="6A093A34"/>
    <w:multiLevelType w:val="hybridMultilevel"/>
    <w:tmpl w:val="79BCA52A"/>
    <w:lvl w:ilvl="0" w:tplc="4C0A001B">
      <w:start w:val="1"/>
      <w:numFmt w:val="lowerRoman"/>
      <w:lvlText w:val="%1."/>
      <w:lvlJc w:val="right"/>
      <w:pPr>
        <w:ind w:left="360" w:hanging="360"/>
      </w:pPr>
    </w:lvl>
    <w:lvl w:ilvl="1" w:tplc="4C0A0019">
      <w:start w:val="1"/>
      <w:numFmt w:val="lowerLetter"/>
      <w:lvlText w:val="%2."/>
      <w:lvlJc w:val="left"/>
      <w:pPr>
        <w:ind w:left="1080" w:hanging="360"/>
      </w:pPr>
    </w:lvl>
    <w:lvl w:ilvl="2" w:tplc="4C0A001B">
      <w:start w:val="1"/>
      <w:numFmt w:val="lowerRoman"/>
      <w:lvlText w:val="%3."/>
      <w:lvlJc w:val="right"/>
      <w:pPr>
        <w:ind w:left="1800" w:hanging="180"/>
      </w:pPr>
    </w:lvl>
    <w:lvl w:ilvl="3" w:tplc="4C0A000F">
      <w:start w:val="1"/>
      <w:numFmt w:val="decimal"/>
      <w:lvlText w:val="%4."/>
      <w:lvlJc w:val="left"/>
      <w:pPr>
        <w:ind w:left="2520" w:hanging="360"/>
      </w:pPr>
    </w:lvl>
    <w:lvl w:ilvl="4" w:tplc="4C0A0019">
      <w:start w:val="1"/>
      <w:numFmt w:val="lowerLetter"/>
      <w:lvlText w:val="%5."/>
      <w:lvlJc w:val="left"/>
      <w:pPr>
        <w:ind w:left="3240" w:hanging="360"/>
      </w:pPr>
    </w:lvl>
    <w:lvl w:ilvl="5" w:tplc="4C0A001B">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16" w15:restartNumberingAfterBreak="0">
    <w:nsid w:val="781A5B1A"/>
    <w:multiLevelType w:val="hybridMultilevel"/>
    <w:tmpl w:val="9D1CE3F6"/>
    <w:lvl w:ilvl="0" w:tplc="340A0013">
      <w:start w:val="1"/>
      <w:numFmt w:val="upperRoman"/>
      <w:lvlText w:val="%1."/>
      <w:lvlJc w:val="right"/>
      <w:pPr>
        <w:ind w:left="360" w:hanging="360"/>
      </w:p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17" w15:restartNumberingAfterBreak="0">
    <w:nsid w:val="7BE7205F"/>
    <w:multiLevelType w:val="hybridMultilevel"/>
    <w:tmpl w:val="0560A34A"/>
    <w:lvl w:ilvl="0" w:tplc="6D68A388">
      <w:start w:val="1"/>
      <w:numFmt w:val="lowerRoman"/>
      <w:lvlText w:val="%1)"/>
      <w:lvlJc w:val="left"/>
      <w:pPr>
        <w:ind w:left="1146" w:hanging="720"/>
      </w:pPr>
      <w:rPr>
        <w:rFonts w:hint="default"/>
      </w:rPr>
    </w:lvl>
    <w:lvl w:ilvl="1" w:tplc="4C0A0019" w:tentative="1">
      <w:start w:val="1"/>
      <w:numFmt w:val="lowerLetter"/>
      <w:lvlText w:val="%2."/>
      <w:lvlJc w:val="left"/>
      <w:pPr>
        <w:ind w:left="1506" w:hanging="360"/>
      </w:pPr>
    </w:lvl>
    <w:lvl w:ilvl="2" w:tplc="4C0A001B" w:tentative="1">
      <w:start w:val="1"/>
      <w:numFmt w:val="lowerRoman"/>
      <w:lvlText w:val="%3."/>
      <w:lvlJc w:val="right"/>
      <w:pPr>
        <w:ind w:left="2226" w:hanging="180"/>
      </w:pPr>
    </w:lvl>
    <w:lvl w:ilvl="3" w:tplc="4C0A000F" w:tentative="1">
      <w:start w:val="1"/>
      <w:numFmt w:val="decimal"/>
      <w:lvlText w:val="%4."/>
      <w:lvlJc w:val="left"/>
      <w:pPr>
        <w:ind w:left="2946" w:hanging="360"/>
      </w:pPr>
    </w:lvl>
    <w:lvl w:ilvl="4" w:tplc="4C0A0019" w:tentative="1">
      <w:start w:val="1"/>
      <w:numFmt w:val="lowerLetter"/>
      <w:lvlText w:val="%5."/>
      <w:lvlJc w:val="left"/>
      <w:pPr>
        <w:ind w:left="3666" w:hanging="360"/>
      </w:pPr>
    </w:lvl>
    <w:lvl w:ilvl="5" w:tplc="4C0A001B" w:tentative="1">
      <w:start w:val="1"/>
      <w:numFmt w:val="lowerRoman"/>
      <w:lvlText w:val="%6."/>
      <w:lvlJc w:val="right"/>
      <w:pPr>
        <w:ind w:left="4386" w:hanging="180"/>
      </w:pPr>
    </w:lvl>
    <w:lvl w:ilvl="6" w:tplc="4C0A000F" w:tentative="1">
      <w:start w:val="1"/>
      <w:numFmt w:val="decimal"/>
      <w:lvlText w:val="%7."/>
      <w:lvlJc w:val="left"/>
      <w:pPr>
        <w:ind w:left="5106" w:hanging="360"/>
      </w:pPr>
    </w:lvl>
    <w:lvl w:ilvl="7" w:tplc="4C0A0019" w:tentative="1">
      <w:start w:val="1"/>
      <w:numFmt w:val="lowerLetter"/>
      <w:lvlText w:val="%8."/>
      <w:lvlJc w:val="left"/>
      <w:pPr>
        <w:ind w:left="5826" w:hanging="360"/>
      </w:pPr>
    </w:lvl>
    <w:lvl w:ilvl="8" w:tplc="4C0A001B" w:tentative="1">
      <w:start w:val="1"/>
      <w:numFmt w:val="lowerRoman"/>
      <w:lvlText w:val="%9."/>
      <w:lvlJc w:val="right"/>
      <w:pPr>
        <w:ind w:left="6546" w:hanging="180"/>
      </w:pPr>
    </w:lvl>
  </w:abstractNum>
  <w:num w:numId="1">
    <w:abstractNumId w:val="0"/>
  </w:num>
  <w:num w:numId="2">
    <w:abstractNumId w:val="17"/>
  </w:num>
  <w:num w:numId="3">
    <w:abstractNumId w:val="14"/>
  </w:num>
  <w:num w:numId="4">
    <w:abstractNumId w:val="10"/>
  </w:num>
  <w:num w:numId="5">
    <w:abstractNumId w:val="13"/>
  </w:num>
  <w:num w:numId="6">
    <w:abstractNumId w:val="15"/>
  </w:num>
  <w:num w:numId="7">
    <w:abstractNumId w:val="12"/>
  </w:num>
  <w:num w:numId="8">
    <w:abstractNumId w:val="6"/>
  </w:num>
  <w:num w:numId="9">
    <w:abstractNumId w:val="16"/>
  </w:num>
  <w:num w:numId="10">
    <w:abstractNumId w:val="4"/>
  </w:num>
  <w:num w:numId="11">
    <w:abstractNumId w:val="11"/>
  </w:num>
  <w:num w:numId="12">
    <w:abstractNumId w:val="9"/>
  </w:num>
  <w:num w:numId="13">
    <w:abstractNumId w:val="2"/>
  </w:num>
  <w:num w:numId="14">
    <w:abstractNumId w:val="3"/>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8"/>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017"/>
    <w:rsid w:val="000005C6"/>
    <w:rsid w:val="00000801"/>
    <w:rsid w:val="000011A0"/>
    <w:rsid w:val="00001BE3"/>
    <w:rsid w:val="00001CDA"/>
    <w:rsid w:val="00001DD1"/>
    <w:rsid w:val="00002166"/>
    <w:rsid w:val="0000247D"/>
    <w:rsid w:val="0000257D"/>
    <w:rsid w:val="00002E6B"/>
    <w:rsid w:val="00003AF3"/>
    <w:rsid w:val="000041EC"/>
    <w:rsid w:val="00004D41"/>
    <w:rsid w:val="0000558F"/>
    <w:rsid w:val="00005720"/>
    <w:rsid w:val="0000582E"/>
    <w:rsid w:val="000066BF"/>
    <w:rsid w:val="000069EE"/>
    <w:rsid w:val="00006D0C"/>
    <w:rsid w:val="00006E21"/>
    <w:rsid w:val="00007136"/>
    <w:rsid w:val="000075CE"/>
    <w:rsid w:val="0001024A"/>
    <w:rsid w:val="00010466"/>
    <w:rsid w:val="00010770"/>
    <w:rsid w:val="00010BDF"/>
    <w:rsid w:val="000119D4"/>
    <w:rsid w:val="00012194"/>
    <w:rsid w:val="00012ECB"/>
    <w:rsid w:val="00012F0A"/>
    <w:rsid w:val="00013041"/>
    <w:rsid w:val="00013255"/>
    <w:rsid w:val="00013516"/>
    <w:rsid w:val="000139C3"/>
    <w:rsid w:val="00013BE3"/>
    <w:rsid w:val="000147A0"/>
    <w:rsid w:val="00015FDD"/>
    <w:rsid w:val="00016A84"/>
    <w:rsid w:val="00016B24"/>
    <w:rsid w:val="00016B43"/>
    <w:rsid w:val="00016FC7"/>
    <w:rsid w:val="000201A2"/>
    <w:rsid w:val="000209AF"/>
    <w:rsid w:val="00021574"/>
    <w:rsid w:val="00021ABF"/>
    <w:rsid w:val="00022FED"/>
    <w:rsid w:val="000238F4"/>
    <w:rsid w:val="00023AB1"/>
    <w:rsid w:val="00023FD0"/>
    <w:rsid w:val="00024896"/>
    <w:rsid w:val="00025D31"/>
    <w:rsid w:val="00025F60"/>
    <w:rsid w:val="0002647D"/>
    <w:rsid w:val="00026B66"/>
    <w:rsid w:val="00026EEE"/>
    <w:rsid w:val="000274E5"/>
    <w:rsid w:val="000276B4"/>
    <w:rsid w:val="00027C2A"/>
    <w:rsid w:val="00027ED5"/>
    <w:rsid w:val="0003026D"/>
    <w:rsid w:val="000308B0"/>
    <w:rsid w:val="000318B8"/>
    <w:rsid w:val="00031CC3"/>
    <w:rsid w:val="00033928"/>
    <w:rsid w:val="000345FF"/>
    <w:rsid w:val="00034900"/>
    <w:rsid w:val="00035411"/>
    <w:rsid w:val="000355D1"/>
    <w:rsid w:val="0003565B"/>
    <w:rsid w:val="000367A9"/>
    <w:rsid w:val="000367DC"/>
    <w:rsid w:val="00037355"/>
    <w:rsid w:val="0003779D"/>
    <w:rsid w:val="00037F05"/>
    <w:rsid w:val="00040308"/>
    <w:rsid w:val="0004030E"/>
    <w:rsid w:val="000410A4"/>
    <w:rsid w:val="000410F0"/>
    <w:rsid w:val="0004140F"/>
    <w:rsid w:val="000415BA"/>
    <w:rsid w:val="00041B84"/>
    <w:rsid w:val="00042E84"/>
    <w:rsid w:val="00042F78"/>
    <w:rsid w:val="00043FCD"/>
    <w:rsid w:val="00044620"/>
    <w:rsid w:val="00044786"/>
    <w:rsid w:val="00044835"/>
    <w:rsid w:val="00044D11"/>
    <w:rsid w:val="00044D4B"/>
    <w:rsid w:val="00044EDA"/>
    <w:rsid w:val="000459F5"/>
    <w:rsid w:val="00045A21"/>
    <w:rsid w:val="00045F5E"/>
    <w:rsid w:val="00046550"/>
    <w:rsid w:val="0004699C"/>
    <w:rsid w:val="00046A62"/>
    <w:rsid w:val="0004715A"/>
    <w:rsid w:val="000478DE"/>
    <w:rsid w:val="00047B9D"/>
    <w:rsid w:val="000501CC"/>
    <w:rsid w:val="00050B34"/>
    <w:rsid w:val="0005179E"/>
    <w:rsid w:val="00053E9A"/>
    <w:rsid w:val="000545AF"/>
    <w:rsid w:val="00055085"/>
    <w:rsid w:val="0005527D"/>
    <w:rsid w:val="00055D73"/>
    <w:rsid w:val="00055DA3"/>
    <w:rsid w:val="00055F04"/>
    <w:rsid w:val="000567F3"/>
    <w:rsid w:val="00056E00"/>
    <w:rsid w:val="00056ED9"/>
    <w:rsid w:val="000577CC"/>
    <w:rsid w:val="000600B0"/>
    <w:rsid w:val="00060E96"/>
    <w:rsid w:val="000614D5"/>
    <w:rsid w:val="00061A14"/>
    <w:rsid w:val="00061E8D"/>
    <w:rsid w:val="00062B16"/>
    <w:rsid w:val="00065AEB"/>
    <w:rsid w:val="00065F26"/>
    <w:rsid w:val="00067167"/>
    <w:rsid w:val="000672B2"/>
    <w:rsid w:val="00067A6B"/>
    <w:rsid w:val="00067DE4"/>
    <w:rsid w:val="000716EF"/>
    <w:rsid w:val="00071857"/>
    <w:rsid w:val="00071FC0"/>
    <w:rsid w:val="00074089"/>
    <w:rsid w:val="0007421B"/>
    <w:rsid w:val="000746C5"/>
    <w:rsid w:val="00074EE4"/>
    <w:rsid w:val="00075EE4"/>
    <w:rsid w:val="00076E74"/>
    <w:rsid w:val="000775FC"/>
    <w:rsid w:val="00077D54"/>
    <w:rsid w:val="000801DE"/>
    <w:rsid w:val="00080642"/>
    <w:rsid w:val="0008077B"/>
    <w:rsid w:val="000814EA"/>
    <w:rsid w:val="000817BF"/>
    <w:rsid w:val="00082255"/>
    <w:rsid w:val="00082641"/>
    <w:rsid w:val="00082AC3"/>
    <w:rsid w:val="00082D67"/>
    <w:rsid w:val="00083912"/>
    <w:rsid w:val="0008450C"/>
    <w:rsid w:val="0008468B"/>
    <w:rsid w:val="00086B79"/>
    <w:rsid w:val="000874E8"/>
    <w:rsid w:val="00090001"/>
    <w:rsid w:val="000904BE"/>
    <w:rsid w:val="00091944"/>
    <w:rsid w:val="00091EB3"/>
    <w:rsid w:val="000926F0"/>
    <w:rsid w:val="00092A58"/>
    <w:rsid w:val="0009462B"/>
    <w:rsid w:val="000947EF"/>
    <w:rsid w:val="00094A4A"/>
    <w:rsid w:val="0009508F"/>
    <w:rsid w:val="0009512B"/>
    <w:rsid w:val="00095A43"/>
    <w:rsid w:val="00095AEB"/>
    <w:rsid w:val="0009666B"/>
    <w:rsid w:val="000974B7"/>
    <w:rsid w:val="00097687"/>
    <w:rsid w:val="00097935"/>
    <w:rsid w:val="000A102C"/>
    <w:rsid w:val="000A1356"/>
    <w:rsid w:val="000A1761"/>
    <w:rsid w:val="000A1959"/>
    <w:rsid w:val="000A1E66"/>
    <w:rsid w:val="000A3DA3"/>
    <w:rsid w:val="000A4C6C"/>
    <w:rsid w:val="000A5282"/>
    <w:rsid w:val="000A543A"/>
    <w:rsid w:val="000A6523"/>
    <w:rsid w:val="000A668D"/>
    <w:rsid w:val="000A672D"/>
    <w:rsid w:val="000A6751"/>
    <w:rsid w:val="000A6E42"/>
    <w:rsid w:val="000A73E9"/>
    <w:rsid w:val="000A7531"/>
    <w:rsid w:val="000A7814"/>
    <w:rsid w:val="000A78CD"/>
    <w:rsid w:val="000B0269"/>
    <w:rsid w:val="000B0F72"/>
    <w:rsid w:val="000B12FD"/>
    <w:rsid w:val="000B1CAF"/>
    <w:rsid w:val="000B271B"/>
    <w:rsid w:val="000B2E84"/>
    <w:rsid w:val="000B326C"/>
    <w:rsid w:val="000B3477"/>
    <w:rsid w:val="000B3865"/>
    <w:rsid w:val="000B3969"/>
    <w:rsid w:val="000B3C22"/>
    <w:rsid w:val="000B3D62"/>
    <w:rsid w:val="000B4628"/>
    <w:rsid w:val="000B4F49"/>
    <w:rsid w:val="000B50E9"/>
    <w:rsid w:val="000B6835"/>
    <w:rsid w:val="000B77DE"/>
    <w:rsid w:val="000C0266"/>
    <w:rsid w:val="000C150A"/>
    <w:rsid w:val="000C1A8F"/>
    <w:rsid w:val="000C284E"/>
    <w:rsid w:val="000C2B52"/>
    <w:rsid w:val="000C3C3D"/>
    <w:rsid w:val="000C426B"/>
    <w:rsid w:val="000C4869"/>
    <w:rsid w:val="000C4E93"/>
    <w:rsid w:val="000C5530"/>
    <w:rsid w:val="000C5739"/>
    <w:rsid w:val="000C5D40"/>
    <w:rsid w:val="000C5E41"/>
    <w:rsid w:val="000C6921"/>
    <w:rsid w:val="000C6CDF"/>
    <w:rsid w:val="000C7004"/>
    <w:rsid w:val="000C74B6"/>
    <w:rsid w:val="000C7C4C"/>
    <w:rsid w:val="000C7EE8"/>
    <w:rsid w:val="000D0A36"/>
    <w:rsid w:val="000D0B15"/>
    <w:rsid w:val="000D1A36"/>
    <w:rsid w:val="000D1D28"/>
    <w:rsid w:val="000D1EE1"/>
    <w:rsid w:val="000D205A"/>
    <w:rsid w:val="000D29EF"/>
    <w:rsid w:val="000D4882"/>
    <w:rsid w:val="000D4AB5"/>
    <w:rsid w:val="000D4D93"/>
    <w:rsid w:val="000D505F"/>
    <w:rsid w:val="000D7780"/>
    <w:rsid w:val="000D77D7"/>
    <w:rsid w:val="000D7C1B"/>
    <w:rsid w:val="000D7F19"/>
    <w:rsid w:val="000E05B3"/>
    <w:rsid w:val="000E0CFF"/>
    <w:rsid w:val="000E0D76"/>
    <w:rsid w:val="000E13AA"/>
    <w:rsid w:val="000E1782"/>
    <w:rsid w:val="000E1A0D"/>
    <w:rsid w:val="000E1BA9"/>
    <w:rsid w:val="000E22C5"/>
    <w:rsid w:val="000E2795"/>
    <w:rsid w:val="000E2D9A"/>
    <w:rsid w:val="000E320B"/>
    <w:rsid w:val="000E3BC3"/>
    <w:rsid w:val="000E4697"/>
    <w:rsid w:val="000E4D4F"/>
    <w:rsid w:val="000E606A"/>
    <w:rsid w:val="000E6596"/>
    <w:rsid w:val="000E70EB"/>
    <w:rsid w:val="000E71AF"/>
    <w:rsid w:val="000F009C"/>
    <w:rsid w:val="000F01BE"/>
    <w:rsid w:val="000F01C8"/>
    <w:rsid w:val="000F059A"/>
    <w:rsid w:val="000F09E7"/>
    <w:rsid w:val="000F0DB4"/>
    <w:rsid w:val="000F1027"/>
    <w:rsid w:val="000F1127"/>
    <w:rsid w:val="000F15AF"/>
    <w:rsid w:val="000F17BA"/>
    <w:rsid w:val="000F1810"/>
    <w:rsid w:val="000F1899"/>
    <w:rsid w:val="000F1B7F"/>
    <w:rsid w:val="000F1C03"/>
    <w:rsid w:val="000F24CC"/>
    <w:rsid w:val="000F264F"/>
    <w:rsid w:val="000F267A"/>
    <w:rsid w:val="000F28AA"/>
    <w:rsid w:val="000F2B12"/>
    <w:rsid w:val="000F2C93"/>
    <w:rsid w:val="000F3C9D"/>
    <w:rsid w:val="000F42ED"/>
    <w:rsid w:val="000F4866"/>
    <w:rsid w:val="000F562D"/>
    <w:rsid w:val="000F6173"/>
    <w:rsid w:val="000F66A6"/>
    <w:rsid w:val="000F7724"/>
    <w:rsid w:val="000F7A54"/>
    <w:rsid w:val="000F7FC0"/>
    <w:rsid w:val="00100251"/>
    <w:rsid w:val="0010061F"/>
    <w:rsid w:val="001008BB"/>
    <w:rsid w:val="001009C3"/>
    <w:rsid w:val="0010158E"/>
    <w:rsid w:val="00101868"/>
    <w:rsid w:val="0010251C"/>
    <w:rsid w:val="001025F3"/>
    <w:rsid w:val="001028B9"/>
    <w:rsid w:val="00102D5A"/>
    <w:rsid w:val="00103042"/>
    <w:rsid w:val="00103209"/>
    <w:rsid w:val="00103270"/>
    <w:rsid w:val="00104D38"/>
    <w:rsid w:val="00104F4C"/>
    <w:rsid w:val="001054BA"/>
    <w:rsid w:val="00105B95"/>
    <w:rsid w:val="00106B89"/>
    <w:rsid w:val="00106E79"/>
    <w:rsid w:val="00110260"/>
    <w:rsid w:val="00110C07"/>
    <w:rsid w:val="00111C52"/>
    <w:rsid w:val="00112236"/>
    <w:rsid w:val="00112FD0"/>
    <w:rsid w:val="0011317A"/>
    <w:rsid w:val="00113575"/>
    <w:rsid w:val="001143B1"/>
    <w:rsid w:val="00114708"/>
    <w:rsid w:val="00114F5E"/>
    <w:rsid w:val="00114F7E"/>
    <w:rsid w:val="00115305"/>
    <w:rsid w:val="00115345"/>
    <w:rsid w:val="00117D34"/>
    <w:rsid w:val="0012194E"/>
    <w:rsid w:val="00121A30"/>
    <w:rsid w:val="001221EF"/>
    <w:rsid w:val="00122663"/>
    <w:rsid w:val="00123239"/>
    <w:rsid w:val="0012366B"/>
    <w:rsid w:val="00124316"/>
    <w:rsid w:val="0012592E"/>
    <w:rsid w:val="00125EF1"/>
    <w:rsid w:val="0012630C"/>
    <w:rsid w:val="00127495"/>
    <w:rsid w:val="001275B3"/>
    <w:rsid w:val="00127B28"/>
    <w:rsid w:val="00127E54"/>
    <w:rsid w:val="0013000A"/>
    <w:rsid w:val="001303F7"/>
    <w:rsid w:val="00130B33"/>
    <w:rsid w:val="00130F3E"/>
    <w:rsid w:val="00131422"/>
    <w:rsid w:val="0013144B"/>
    <w:rsid w:val="0013263A"/>
    <w:rsid w:val="00132F15"/>
    <w:rsid w:val="00133157"/>
    <w:rsid w:val="001336B6"/>
    <w:rsid w:val="001364F2"/>
    <w:rsid w:val="00136574"/>
    <w:rsid w:val="001369B3"/>
    <w:rsid w:val="00136E28"/>
    <w:rsid w:val="00136ED9"/>
    <w:rsid w:val="00140774"/>
    <w:rsid w:val="00141747"/>
    <w:rsid w:val="001417FF"/>
    <w:rsid w:val="00141AD4"/>
    <w:rsid w:val="00141E4F"/>
    <w:rsid w:val="00142017"/>
    <w:rsid w:val="00142601"/>
    <w:rsid w:val="00142960"/>
    <w:rsid w:val="00143A4D"/>
    <w:rsid w:val="00143D22"/>
    <w:rsid w:val="00144630"/>
    <w:rsid w:val="0014563B"/>
    <w:rsid w:val="00145683"/>
    <w:rsid w:val="00145736"/>
    <w:rsid w:val="00145AEF"/>
    <w:rsid w:val="00146603"/>
    <w:rsid w:val="001469A9"/>
    <w:rsid w:val="00146D3A"/>
    <w:rsid w:val="00147A39"/>
    <w:rsid w:val="00147FC2"/>
    <w:rsid w:val="00150804"/>
    <w:rsid w:val="00150913"/>
    <w:rsid w:val="00151358"/>
    <w:rsid w:val="001516AC"/>
    <w:rsid w:val="00152041"/>
    <w:rsid w:val="001525F1"/>
    <w:rsid w:val="00152779"/>
    <w:rsid w:val="00153FA2"/>
    <w:rsid w:val="00154078"/>
    <w:rsid w:val="00154839"/>
    <w:rsid w:val="001548E4"/>
    <w:rsid w:val="00154DE4"/>
    <w:rsid w:val="001566DF"/>
    <w:rsid w:val="00156980"/>
    <w:rsid w:val="00156B65"/>
    <w:rsid w:val="0015749A"/>
    <w:rsid w:val="0015771C"/>
    <w:rsid w:val="00157DEE"/>
    <w:rsid w:val="00157E82"/>
    <w:rsid w:val="00160B74"/>
    <w:rsid w:val="001619BC"/>
    <w:rsid w:val="00162C1B"/>
    <w:rsid w:val="00163FE3"/>
    <w:rsid w:val="001640CB"/>
    <w:rsid w:val="00165B99"/>
    <w:rsid w:val="00165FD3"/>
    <w:rsid w:val="001666C0"/>
    <w:rsid w:val="00166A4E"/>
    <w:rsid w:val="0017015C"/>
    <w:rsid w:val="00171097"/>
    <w:rsid w:val="0017164B"/>
    <w:rsid w:val="00172ED7"/>
    <w:rsid w:val="00173EE2"/>
    <w:rsid w:val="00173F4E"/>
    <w:rsid w:val="0017422A"/>
    <w:rsid w:val="00174265"/>
    <w:rsid w:val="001747B5"/>
    <w:rsid w:val="001754FC"/>
    <w:rsid w:val="0017646E"/>
    <w:rsid w:val="001764BB"/>
    <w:rsid w:val="00176B61"/>
    <w:rsid w:val="00176CD4"/>
    <w:rsid w:val="00176E3D"/>
    <w:rsid w:val="00177199"/>
    <w:rsid w:val="0018001F"/>
    <w:rsid w:val="00180EB2"/>
    <w:rsid w:val="00180F0F"/>
    <w:rsid w:val="001826AD"/>
    <w:rsid w:val="00182997"/>
    <w:rsid w:val="0018362F"/>
    <w:rsid w:val="00183CAF"/>
    <w:rsid w:val="00184452"/>
    <w:rsid w:val="0018476A"/>
    <w:rsid w:val="00184838"/>
    <w:rsid w:val="00190232"/>
    <w:rsid w:val="00190825"/>
    <w:rsid w:val="001908AB"/>
    <w:rsid w:val="00190CF7"/>
    <w:rsid w:val="0019110B"/>
    <w:rsid w:val="00193E21"/>
    <w:rsid w:val="00193EAC"/>
    <w:rsid w:val="001945E4"/>
    <w:rsid w:val="00195442"/>
    <w:rsid w:val="001957E4"/>
    <w:rsid w:val="00195A85"/>
    <w:rsid w:val="00195CE0"/>
    <w:rsid w:val="00195FFE"/>
    <w:rsid w:val="00197017"/>
    <w:rsid w:val="0019748B"/>
    <w:rsid w:val="001A06A2"/>
    <w:rsid w:val="001A0B42"/>
    <w:rsid w:val="001A0FA2"/>
    <w:rsid w:val="001A1411"/>
    <w:rsid w:val="001A20E5"/>
    <w:rsid w:val="001A3DFF"/>
    <w:rsid w:val="001A3FD7"/>
    <w:rsid w:val="001A4BFB"/>
    <w:rsid w:val="001A52A1"/>
    <w:rsid w:val="001A571A"/>
    <w:rsid w:val="001A6460"/>
    <w:rsid w:val="001A7596"/>
    <w:rsid w:val="001A7BC8"/>
    <w:rsid w:val="001B0522"/>
    <w:rsid w:val="001B05C8"/>
    <w:rsid w:val="001B196C"/>
    <w:rsid w:val="001B2073"/>
    <w:rsid w:val="001B253F"/>
    <w:rsid w:val="001B395D"/>
    <w:rsid w:val="001B5AC6"/>
    <w:rsid w:val="001B6C7D"/>
    <w:rsid w:val="001B7A42"/>
    <w:rsid w:val="001B7B61"/>
    <w:rsid w:val="001C037F"/>
    <w:rsid w:val="001C04FA"/>
    <w:rsid w:val="001C19CD"/>
    <w:rsid w:val="001C1CCC"/>
    <w:rsid w:val="001C286D"/>
    <w:rsid w:val="001C2F0C"/>
    <w:rsid w:val="001C3241"/>
    <w:rsid w:val="001C332A"/>
    <w:rsid w:val="001C3E02"/>
    <w:rsid w:val="001C4889"/>
    <w:rsid w:val="001C4BBA"/>
    <w:rsid w:val="001C5043"/>
    <w:rsid w:val="001C5733"/>
    <w:rsid w:val="001C5AFC"/>
    <w:rsid w:val="001C6093"/>
    <w:rsid w:val="001C6425"/>
    <w:rsid w:val="001C6AC1"/>
    <w:rsid w:val="001C6D0C"/>
    <w:rsid w:val="001C7C4F"/>
    <w:rsid w:val="001D26D7"/>
    <w:rsid w:val="001D288E"/>
    <w:rsid w:val="001D29BD"/>
    <w:rsid w:val="001D4034"/>
    <w:rsid w:val="001D4698"/>
    <w:rsid w:val="001D4C20"/>
    <w:rsid w:val="001D51BC"/>
    <w:rsid w:val="001D5639"/>
    <w:rsid w:val="001D57F9"/>
    <w:rsid w:val="001D5878"/>
    <w:rsid w:val="001D740A"/>
    <w:rsid w:val="001D7BA5"/>
    <w:rsid w:val="001D7D0E"/>
    <w:rsid w:val="001D7FEF"/>
    <w:rsid w:val="001E004F"/>
    <w:rsid w:val="001E007F"/>
    <w:rsid w:val="001E0946"/>
    <w:rsid w:val="001E13A5"/>
    <w:rsid w:val="001E1684"/>
    <w:rsid w:val="001E19B8"/>
    <w:rsid w:val="001E1A99"/>
    <w:rsid w:val="001E1B61"/>
    <w:rsid w:val="001E2B4D"/>
    <w:rsid w:val="001E418C"/>
    <w:rsid w:val="001E66D8"/>
    <w:rsid w:val="001E72CF"/>
    <w:rsid w:val="001E72E2"/>
    <w:rsid w:val="001E7A4E"/>
    <w:rsid w:val="001F1D8B"/>
    <w:rsid w:val="001F240D"/>
    <w:rsid w:val="001F2996"/>
    <w:rsid w:val="001F3A30"/>
    <w:rsid w:val="001F3C00"/>
    <w:rsid w:val="001F4965"/>
    <w:rsid w:val="001F5202"/>
    <w:rsid w:val="001F6264"/>
    <w:rsid w:val="001F65DB"/>
    <w:rsid w:val="001F6DDE"/>
    <w:rsid w:val="001F6FE1"/>
    <w:rsid w:val="001F7433"/>
    <w:rsid w:val="00200316"/>
    <w:rsid w:val="00200391"/>
    <w:rsid w:val="0020099A"/>
    <w:rsid w:val="00200A14"/>
    <w:rsid w:val="00200C78"/>
    <w:rsid w:val="00200DFB"/>
    <w:rsid w:val="00200F28"/>
    <w:rsid w:val="00201214"/>
    <w:rsid w:val="0020200F"/>
    <w:rsid w:val="002024F2"/>
    <w:rsid w:val="002024FF"/>
    <w:rsid w:val="00202EB2"/>
    <w:rsid w:val="00202F13"/>
    <w:rsid w:val="00203F5F"/>
    <w:rsid w:val="0020435E"/>
    <w:rsid w:val="002044CA"/>
    <w:rsid w:val="002045CC"/>
    <w:rsid w:val="0020477C"/>
    <w:rsid w:val="00204B3E"/>
    <w:rsid w:val="00204E6E"/>
    <w:rsid w:val="00204EE3"/>
    <w:rsid w:val="00205425"/>
    <w:rsid w:val="00205F75"/>
    <w:rsid w:val="00206F2A"/>
    <w:rsid w:val="002071F9"/>
    <w:rsid w:val="0020752A"/>
    <w:rsid w:val="00210463"/>
    <w:rsid w:val="00210768"/>
    <w:rsid w:val="00210D80"/>
    <w:rsid w:val="00210EB6"/>
    <w:rsid w:val="002111CF"/>
    <w:rsid w:val="00213811"/>
    <w:rsid w:val="00213E13"/>
    <w:rsid w:val="00213ED6"/>
    <w:rsid w:val="0021464D"/>
    <w:rsid w:val="00214AEF"/>
    <w:rsid w:val="00214C6A"/>
    <w:rsid w:val="00215002"/>
    <w:rsid w:val="0021504D"/>
    <w:rsid w:val="00215248"/>
    <w:rsid w:val="0021563A"/>
    <w:rsid w:val="0021623B"/>
    <w:rsid w:val="002164C0"/>
    <w:rsid w:val="00217BBA"/>
    <w:rsid w:val="002201F6"/>
    <w:rsid w:val="00220420"/>
    <w:rsid w:val="0022054E"/>
    <w:rsid w:val="00220629"/>
    <w:rsid w:val="0022071C"/>
    <w:rsid w:val="0022092B"/>
    <w:rsid w:val="00220DD7"/>
    <w:rsid w:val="00220FDB"/>
    <w:rsid w:val="00221DE6"/>
    <w:rsid w:val="00222877"/>
    <w:rsid w:val="002228B8"/>
    <w:rsid w:val="0022347A"/>
    <w:rsid w:val="002247ED"/>
    <w:rsid w:val="002248C5"/>
    <w:rsid w:val="0022561C"/>
    <w:rsid w:val="0022562A"/>
    <w:rsid w:val="0022724E"/>
    <w:rsid w:val="00227E1B"/>
    <w:rsid w:val="00230426"/>
    <w:rsid w:val="0023076D"/>
    <w:rsid w:val="002308C3"/>
    <w:rsid w:val="00230AF2"/>
    <w:rsid w:val="00230ED7"/>
    <w:rsid w:val="00231E23"/>
    <w:rsid w:val="002326F4"/>
    <w:rsid w:val="002329A1"/>
    <w:rsid w:val="00232B47"/>
    <w:rsid w:val="00232F3D"/>
    <w:rsid w:val="0023344B"/>
    <w:rsid w:val="0023423A"/>
    <w:rsid w:val="002353D7"/>
    <w:rsid w:val="00237086"/>
    <w:rsid w:val="00237983"/>
    <w:rsid w:val="002401F7"/>
    <w:rsid w:val="00240369"/>
    <w:rsid w:val="00240BF1"/>
    <w:rsid w:val="00241091"/>
    <w:rsid w:val="00242106"/>
    <w:rsid w:val="00242233"/>
    <w:rsid w:val="00242C70"/>
    <w:rsid w:val="002434B5"/>
    <w:rsid w:val="00243932"/>
    <w:rsid w:val="00243BF7"/>
    <w:rsid w:val="002446DD"/>
    <w:rsid w:val="00244E12"/>
    <w:rsid w:val="002454DC"/>
    <w:rsid w:val="00245A07"/>
    <w:rsid w:val="00245A82"/>
    <w:rsid w:val="00245BA0"/>
    <w:rsid w:val="0024603C"/>
    <w:rsid w:val="0024623E"/>
    <w:rsid w:val="00246325"/>
    <w:rsid w:val="00246C12"/>
    <w:rsid w:val="00246E2F"/>
    <w:rsid w:val="00246E8F"/>
    <w:rsid w:val="002470A8"/>
    <w:rsid w:val="00247468"/>
    <w:rsid w:val="002474A2"/>
    <w:rsid w:val="0024768C"/>
    <w:rsid w:val="00250D93"/>
    <w:rsid w:val="0025193E"/>
    <w:rsid w:val="00252090"/>
    <w:rsid w:val="0025286D"/>
    <w:rsid w:val="002531B5"/>
    <w:rsid w:val="002534B8"/>
    <w:rsid w:val="002550C2"/>
    <w:rsid w:val="00255D15"/>
    <w:rsid w:val="00255D4A"/>
    <w:rsid w:val="00256733"/>
    <w:rsid w:val="00256B3C"/>
    <w:rsid w:val="00257570"/>
    <w:rsid w:val="00257AB2"/>
    <w:rsid w:val="00257DCD"/>
    <w:rsid w:val="00261436"/>
    <w:rsid w:val="00261578"/>
    <w:rsid w:val="00264131"/>
    <w:rsid w:val="00265B06"/>
    <w:rsid w:val="0026603C"/>
    <w:rsid w:val="0026611C"/>
    <w:rsid w:val="002663BB"/>
    <w:rsid w:val="00266C6B"/>
    <w:rsid w:val="002675E8"/>
    <w:rsid w:val="00267865"/>
    <w:rsid w:val="00267911"/>
    <w:rsid w:val="00267E91"/>
    <w:rsid w:val="00270299"/>
    <w:rsid w:val="00270656"/>
    <w:rsid w:val="00270903"/>
    <w:rsid w:val="0027234E"/>
    <w:rsid w:val="00273375"/>
    <w:rsid w:val="00273F53"/>
    <w:rsid w:val="00274037"/>
    <w:rsid w:val="00274102"/>
    <w:rsid w:val="00274442"/>
    <w:rsid w:val="00274F34"/>
    <w:rsid w:val="0027504D"/>
    <w:rsid w:val="002750B5"/>
    <w:rsid w:val="0027518A"/>
    <w:rsid w:val="002753EE"/>
    <w:rsid w:val="0027611B"/>
    <w:rsid w:val="00276C2B"/>
    <w:rsid w:val="002774EA"/>
    <w:rsid w:val="002775E7"/>
    <w:rsid w:val="00280A1A"/>
    <w:rsid w:val="00280ABD"/>
    <w:rsid w:val="002837EA"/>
    <w:rsid w:val="00284993"/>
    <w:rsid w:val="00285366"/>
    <w:rsid w:val="002854B8"/>
    <w:rsid w:val="002860DA"/>
    <w:rsid w:val="00286EBB"/>
    <w:rsid w:val="00286F86"/>
    <w:rsid w:val="0028759D"/>
    <w:rsid w:val="0028763E"/>
    <w:rsid w:val="00290AE6"/>
    <w:rsid w:val="00291049"/>
    <w:rsid w:val="0029120C"/>
    <w:rsid w:val="002918EE"/>
    <w:rsid w:val="00292034"/>
    <w:rsid w:val="00292A09"/>
    <w:rsid w:val="00293F68"/>
    <w:rsid w:val="00294E8E"/>
    <w:rsid w:val="002950D7"/>
    <w:rsid w:val="00295BDB"/>
    <w:rsid w:val="00295C0F"/>
    <w:rsid w:val="00295FA5"/>
    <w:rsid w:val="002966F7"/>
    <w:rsid w:val="002972BA"/>
    <w:rsid w:val="002A002A"/>
    <w:rsid w:val="002A048C"/>
    <w:rsid w:val="002A0D3B"/>
    <w:rsid w:val="002A10B0"/>
    <w:rsid w:val="002A10BF"/>
    <w:rsid w:val="002A132C"/>
    <w:rsid w:val="002A15C4"/>
    <w:rsid w:val="002A167C"/>
    <w:rsid w:val="002A1B60"/>
    <w:rsid w:val="002A2151"/>
    <w:rsid w:val="002A33BE"/>
    <w:rsid w:val="002A3577"/>
    <w:rsid w:val="002A3EC4"/>
    <w:rsid w:val="002A4CAD"/>
    <w:rsid w:val="002A5D14"/>
    <w:rsid w:val="002A6880"/>
    <w:rsid w:val="002A68A6"/>
    <w:rsid w:val="002A68D0"/>
    <w:rsid w:val="002A7978"/>
    <w:rsid w:val="002B0A14"/>
    <w:rsid w:val="002B17A8"/>
    <w:rsid w:val="002B1919"/>
    <w:rsid w:val="002B1E6D"/>
    <w:rsid w:val="002B2527"/>
    <w:rsid w:val="002B2555"/>
    <w:rsid w:val="002B34B5"/>
    <w:rsid w:val="002B405E"/>
    <w:rsid w:val="002B4EF4"/>
    <w:rsid w:val="002B50A6"/>
    <w:rsid w:val="002B5158"/>
    <w:rsid w:val="002B65D5"/>
    <w:rsid w:val="002B69BB"/>
    <w:rsid w:val="002B6A9A"/>
    <w:rsid w:val="002B6D9C"/>
    <w:rsid w:val="002B7054"/>
    <w:rsid w:val="002B76BC"/>
    <w:rsid w:val="002B7B88"/>
    <w:rsid w:val="002B7D0B"/>
    <w:rsid w:val="002C0200"/>
    <w:rsid w:val="002C053C"/>
    <w:rsid w:val="002C0F64"/>
    <w:rsid w:val="002C1EF3"/>
    <w:rsid w:val="002C2A37"/>
    <w:rsid w:val="002C2C4D"/>
    <w:rsid w:val="002C31E5"/>
    <w:rsid w:val="002C4779"/>
    <w:rsid w:val="002C4ABC"/>
    <w:rsid w:val="002C5AF6"/>
    <w:rsid w:val="002C64BA"/>
    <w:rsid w:val="002C6E7E"/>
    <w:rsid w:val="002C77D9"/>
    <w:rsid w:val="002D0F57"/>
    <w:rsid w:val="002D0F6E"/>
    <w:rsid w:val="002D20AB"/>
    <w:rsid w:val="002D2F8F"/>
    <w:rsid w:val="002D3E30"/>
    <w:rsid w:val="002D47AA"/>
    <w:rsid w:val="002D54E0"/>
    <w:rsid w:val="002D6B04"/>
    <w:rsid w:val="002D6E9C"/>
    <w:rsid w:val="002D71DE"/>
    <w:rsid w:val="002D73C4"/>
    <w:rsid w:val="002E0BCA"/>
    <w:rsid w:val="002E1506"/>
    <w:rsid w:val="002E2235"/>
    <w:rsid w:val="002E2340"/>
    <w:rsid w:val="002E2667"/>
    <w:rsid w:val="002E26D9"/>
    <w:rsid w:val="002E27B9"/>
    <w:rsid w:val="002E3070"/>
    <w:rsid w:val="002E39E2"/>
    <w:rsid w:val="002E45BC"/>
    <w:rsid w:val="002E4C5A"/>
    <w:rsid w:val="002E5675"/>
    <w:rsid w:val="002E5F23"/>
    <w:rsid w:val="002E7197"/>
    <w:rsid w:val="002E7217"/>
    <w:rsid w:val="002E75E4"/>
    <w:rsid w:val="002E7684"/>
    <w:rsid w:val="002E7D13"/>
    <w:rsid w:val="002F05C6"/>
    <w:rsid w:val="002F0921"/>
    <w:rsid w:val="002F0D71"/>
    <w:rsid w:val="002F1DD4"/>
    <w:rsid w:val="002F1F3E"/>
    <w:rsid w:val="002F2721"/>
    <w:rsid w:val="002F3523"/>
    <w:rsid w:val="002F5036"/>
    <w:rsid w:val="002F5734"/>
    <w:rsid w:val="002F5AAA"/>
    <w:rsid w:val="002F7CB0"/>
    <w:rsid w:val="003008F2"/>
    <w:rsid w:val="00301671"/>
    <w:rsid w:val="003018C0"/>
    <w:rsid w:val="003022E1"/>
    <w:rsid w:val="003023D6"/>
    <w:rsid w:val="00302B45"/>
    <w:rsid w:val="003037E0"/>
    <w:rsid w:val="00304692"/>
    <w:rsid w:val="003055A6"/>
    <w:rsid w:val="00305E35"/>
    <w:rsid w:val="003068C6"/>
    <w:rsid w:val="00306A24"/>
    <w:rsid w:val="0030722B"/>
    <w:rsid w:val="00307736"/>
    <w:rsid w:val="00310FBF"/>
    <w:rsid w:val="00312147"/>
    <w:rsid w:val="00312DA6"/>
    <w:rsid w:val="00312EB4"/>
    <w:rsid w:val="00313919"/>
    <w:rsid w:val="00314430"/>
    <w:rsid w:val="00314842"/>
    <w:rsid w:val="0031565C"/>
    <w:rsid w:val="00316002"/>
    <w:rsid w:val="00316198"/>
    <w:rsid w:val="003175C4"/>
    <w:rsid w:val="0032011C"/>
    <w:rsid w:val="00320258"/>
    <w:rsid w:val="00321D2E"/>
    <w:rsid w:val="003222FA"/>
    <w:rsid w:val="003231BE"/>
    <w:rsid w:val="00323CF3"/>
    <w:rsid w:val="003251FF"/>
    <w:rsid w:val="003260B9"/>
    <w:rsid w:val="00326806"/>
    <w:rsid w:val="00327BC1"/>
    <w:rsid w:val="003305FB"/>
    <w:rsid w:val="00330C21"/>
    <w:rsid w:val="00330F98"/>
    <w:rsid w:val="00331608"/>
    <w:rsid w:val="0033288A"/>
    <w:rsid w:val="00332CBF"/>
    <w:rsid w:val="00332DE8"/>
    <w:rsid w:val="00333229"/>
    <w:rsid w:val="00333BD8"/>
    <w:rsid w:val="00334661"/>
    <w:rsid w:val="00334B48"/>
    <w:rsid w:val="00334C23"/>
    <w:rsid w:val="00334DA8"/>
    <w:rsid w:val="0033537C"/>
    <w:rsid w:val="003357D0"/>
    <w:rsid w:val="00336153"/>
    <w:rsid w:val="00336479"/>
    <w:rsid w:val="00336D9B"/>
    <w:rsid w:val="003378AB"/>
    <w:rsid w:val="00337920"/>
    <w:rsid w:val="003402F6"/>
    <w:rsid w:val="00340DA8"/>
    <w:rsid w:val="003426AE"/>
    <w:rsid w:val="00342C22"/>
    <w:rsid w:val="003430CA"/>
    <w:rsid w:val="003435A2"/>
    <w:rsid w:val="00344BF5"/>
    <w:rsid w:val="00345656"/>
    <w:rsid w:val="00345D15"/>
    <w:rsid w:val="00347A9D"/>
    <w:rsid w:val="003500FE"/>
    <w:rsid w:val="00350222"/>
    <w:rsid w:val="00350431"/>
    <w:rsid w:val="00350F3D"/>
    <w:rsid w:val="00352002"/>
    <w:rsid w:val="00352170"/>
    <w:rsid w:val="003543E9"/>
    <w:rsid w:val="00354608"/>
    <w:rsid w:val="00354780"/>
    <w:rsid w:val="0035545D"/>
    <w:rsid w:val="0035577E"/>
    <w:rsid w:val="00355D40"/>
    <w:rsid w:val="00356796"/>
    <w:rsid w:val="00357A01"/>
    <w:rsid w:val="00357C76"/>
    <w:rsid w:val="00357EF6"/>
    <w:rsid w:val="00357FC4"/>
    <w:rsid w:val="003606CB"/>
    <w:rsid w:val="003608DE"/>
    <w:rsid w:val="00360C88"/>
    <w:rsid w:val="00361113"/>
    <w:rsid w:val="00361454"/>
    <w:rsid w:val="003623C5"/>
    <w:rsid w:val="0036250E"/>
    <w:rsid w:val="0036285C"/>
    <w:rsid w:val="00362D25"/>
    <w:rsid w:val="0036315A"/>
    <w:rsid w:val="003639A0"/>
    <w:rsid w:val="00363DC3"/>
    <w:rsid w:val="00364271"/>
    <w:rsid w:val="00365A09"/>
    <w:rsid w:val="0036600D"/>
    <w:rsid w:val="00366194"/>
    <w:rsid w:val="0036625B"/>
    <w:rsid w:val="00366330"/>
    <w:rsid w:val="0036724B"/>
    <w:rsid w:val="0036765C"/>
    <w:rsid w:val="00367815"/>
    <w:rsid w:val="00367BF4"/>
    <w:rsid w:val="00367DB5"/>
    <w:rsid w:val="00367E0B"/>
    <w:rsid w:val="00370314"/>
    <w:rsid w:val="00370708"/>
    <w:rsid w:val="00370B34"/>
    <w:rsid w:val="00371062"/>
    <w:rsid w:val="00371D72"/>
    <w:rsid w:val="00372171"/>
    <w:rsid w:val="0037218A"/>
    <w:rsid w:val="00372A83"/>
    <w:rsid w:val="00372F7D"/>
    <w:rsid w:val="00373B82"/>
    <w:rsid w:val="0037436D"/>
    <w:rsid w:val="00374A38"/>
    <w:rsid w:val="00374D12"/>
    <w:rsid w:val="0037540D"/>
    <w:rsid w:val="003755B0"/>
    <w:rsid w:val="00375C1A"/>
    <w:rsid w:val="003771DA"/>
    <w:rsid w:val="00377D02"/>
    <w:rsid w:val="00380001"/>
    <w:rsid w:val="003808F4"/>
    <w:rsid w:val="00380E39"/>
    <w:rsid w:val="003820CB"/>
    <w:rsid w:val="003822B4"/>
    <w:rsid w:val="0038335F"/>
    <w:rsid w:val="0038377A"/>
    <w:rsid w:val="00383824"/>
    <w:rsid w:val="00383AD2"/>
    <w:rsid w:val="00384036"/>
    <w:rsid w:val="00384EF5"/>
    <w:rsid w:val="00385837"/>
    <w:rsid w:val="00385920"/>
    <w:rsid w:val="00385E56"/>
    <w:rsid w:val="00386BC5"/>
    <w:rsid w:val="003870E1"/>
    <w:rsid w:val="003874A0"/>
    <w:rsid w:val="0038781E"/>
    <w:rsid w:val="00387965"/>
    <w:rsid w:val="003879C2"/>
    <w:rsid w:val="0039013F"/>
    <w:rsid w:val="0039091E"/>
    <w:rsid w:val="00390A13"/>
    <w:rsid w:val="00391A1B"/>
    <w:rsid w:val="003923DF"/>
    <w:rsid w:val="003933E6"/>
    <w:rsid w:val="00394DB7"/>
    <w:rsid w:val="00394FEF"/>
    <w:rsid w:val="00395A29"/>
    <w:rsid w:val="00395A48"/>
    <w:rsid w:val="00395E85"/>
    <w:rsid w:val="003965E1"/>
    <w:rsid w:val="00396BD8"/>
    <w:rsid w:val="00397519"/>
    <w:rsid w:val="00397915"/>
    <w:rsid w:val="00397EEE"/>
    <w:rsid w:val="003A0724"/>
    <w:rsid w:val="003A0B2F"/>
    <w:rsid w:val="003A2739"/>
    <w:rsid w:val="003A29A9"/>
    <w:rsid w:val="003A4075"/>
    <w:rsid w:val="003A4D3E"/>
    <w:rsid w:val="003A5AAE"/>
    <w:rsid w:val="003A64E1"/>
    <w:rsid w:val="003A64F4"/>
    <w:rsid w:val="003A7100"/>
    <w:rsid w:val="003A74A2"/>
    <w:rsid w:val="003A76D5"/>
    <w:rsid w:val="003A7870"/>
    <w:rsid w:val="003B06BF"/>
    <w:rsid w:val="003B0AB1"/>
    <w:rsid w:val="003B11E9"/>
    <w:rsid w:val="003B1DCA"/>
    <w:rsid w:val="003B1DDB"/>
    <w:rsid w:val="003B20A2"/>
    <w:rsid w:val="003B21CB"/>
    <w:rsid w:val="003B2572"/>
    <w:rsid w:val="003B308F"/>
    <w:rsid w:val="003B30E7"/>
    <w:rsid w:val="003B35B3"/>
    <w:rsid w:val="003B378A"/>
    <w:rsid w:val="003B3938"/>
    <w:rsid w:val="003B4935"/>
    <w:rsid w:val="003B49AE"/>
    <w:rsid w:val="003B5191"/>
    <w:rsid w:val="003B5C35"/>
    <w:rsid w:val="003B616E"/>
    <w:rsid w:val="003B65F3"/>
    <w:rsid w:val="003B6FF7"/>
    <w:rsid w:val="003B7EDB"/>
    <w:rsid w:val="003C0712"/>
    <w:rsid w:val="003C167F"/>
    <w:rsid w:val="003C17CA"/>
    <w:rsid w:val="003C1F8E"/>
    <w:rsid w:val="003C22E8"/>
    <w:rsid w:val="003C245D"/>
    <w:rsid w:val="003C29E3"/>
    <w:rsid w:val="003C2E94"/>
    <w:rsid w:val="003C310F"/>
    <w:rsid w:val="003C3243"/>
    <w:rsid w:val="003C3956"/>
    <w:rsid w:val="003C44CD"/>
    <w:rsid w:val="003C4C03"/>
    <w:rsid w:val="003C58B7"/>
    <w:rsid w:val="003C5D42"/>
    <w:rsid w:val="003C68A6"/>
    <w:rsid w:val="003C6CA2"/>
    <w:rsid w:val="003C71AE"/>
    <w:rsid w:val="003C77A1"/>
    <w:rsid w:val="003D0338"/>
    <w:rsid w:val="003D05CA"/>
    <w:rsid w:val="003D0A71"/>
    <w:rsid w:val="003D11B3"/>
    <w:rsid w:val="003D1660"/>
    <w:rsid w:val="003D1751"/>
    <w:rsid w:val="003D2501"/>
    <w:rsid w:val="003D28CF"/>
    <w:rsid w:val="003D2E13"/>
    <w:rsid w:val="003D4212"/>
    <w:rsid w:val="003D464C"/>
    <w:rsid w:val="003D4957"/>
    <w:rsid w:val="003D4FF2"/>
    <w:rsid w:val="003D657A"/>
    <w:rsid w:val="003D6DB1"/>
    <w:rsid w:val="003D7FD5"/>
    <w:rsid w:val="003E0141"/>
    <w:rsid w:val="003E0E80"/>
    <w:rsid w:val="003E107F"/>
    <w:rsid w:val="003E10D4"/>
    <w:rsid w:val="003E1DE9"/>
    <w:rsid w:val="003E2508"/>
    <w:rsid w:val="003E284A"/>
    <w:rsid w:val="003E2D64"/>
    <w:rsid w:val="003E346C"/>
    <w:rsid w:val="003E4176"/>
    <w:rsid w:val="003E44C0"/>
    <w:rsid w:val="003E48B5"/>
    <w:rsid w:val="003E4B36"/>
    <w:rsid w:val="003E4EB3"/>
    <w:rsid w:val="003E5607"/>
    <w:rsid w:val="003E6BB7"/>
    <w:rsid w:val="003E7159"/>
    <w:rsid w:val="003E7A16"/>
    <w:rsid w:val="003F003B"/>
    <w:rsid w:val="003F069E"/>
    <w:rsid w:val="003F0A0B"/>
    <w:rsid w:val="003F0C88"/>
    <w:rsid w:val="003F0D9D"/>
    <w:rsid w:val="003F0E13"/>
    <w:rsid w:val="003F14B3"/>
    <w:rsid w:val="003F2165"/>
    <w:rsid w:val="003F2420"/>
    <w:rsid w:val="003F301B"/>
    <w:rsid w:val="003F3B67"/>
    <w:rsid w:val="003F4D0C"/>
    <w:rsid w:val="003F4E54"/>
    <w:rsid w:val="003F567E"/>
    <w:rsid w:val="003F5B1F"/>
    <w:rsid w:val="003F5BAD"/>
    <w:rsid w:val="003F5D4F"/>
    <w:rsid w:val="003F637D"/>
    <w:rsid w:val="003F6ED8"/>
    <w:rsid w:val="003F79AD"/>
    <w:rsid w:val="003F7F67"/>
    <w:rsid w:val="004009CB"/>
    <w:rsid w:val="00401552"/>
    <w:rsid w:val="004016CA"/>
    <w:rsid w:val="0040345E"/>
    <w:rsid w:val="004035A7"/>
    <w:rsid w:val="00403ED1"/>
    <w:rsid w:val="00404D28"/>
    <w:rsid w:val="00404F3F"/>
    <w:rsid w:val="00405511"/>
    <w:rsid w:val="00405B0C"/>
    <w:rsid w:val="00406312"/>
    <w:rsid w:val="00406385"/>
    <w:rsid w:val="00407395"/>
    <w:rsid w:val="004079A8"/>
    <w:rsid w:val="004103A9"/>
    <w:rsid w:val="004104BA"/>
    <w:rsid w:val="00411542"/>
    <w:rsid w:val="00411C19"/>
    <w:rsid w:val="00412CB6"/>
    <w:rsid w:val="00412DD1"/>
    <w:rsid w:val="00413E56"/>
    <w:rsid w:val="00414212"/>
    <w:rsid w:val="0041456C"/>
    <w:rsid w:val="004146ED"/>
    <w:rsid w:val="004149F8"/>
    <w:rsid w:val="004169D2"/>
    <w:rsid w:val="00416EF4"/>
    <w:rsid w:val="004172F0"/>
    <w:rsid w:val="00417696"/>
    <w:rsid w:val="0041771B"/>
    <w:rsid w:val="00420294"/>
    <w:rsid w:val="00420B9B"/>
    <w:rsid w:val="00420D1D"/>
    <w:rsid w:val="004212FC"/>
    <w:rsid w:val="004215EA"/>
    <w:rsid w:val="00421624"/>
    <w:rsid w:val="00421C6C"/>
    <w:rsid w:val="00422DFF"/>
    <w:rsid w:val="004234F0"/>
    <w:rsid w:val="00423604"/>
    <w:rsid w:val="004236A1"/>
    <w:rsid w:val="00423B9E"/>
    <w:rsid w:val="00424AAD"/>
    <w:rsid w:val="00424EE6"/>
    <w:rsid w:val="00424F54"/>
    <w:rsid w:val="0042504D"/>
    <w:rsid w:val="0042753A"/>
    <w:rsid w:val="00430205"/>
    <w:rsid w:val="004305D7"/>
    <w:rsid w:val="00430916"/>
    <w:rsid w:val="00431613"/>
    <w:rsid w:val="00431633"/>
    <w:rsid w:val="004316DA"/>
    <w:rsid w:val="0043187E"/>
    <w:rsid w:val="004320F0"/>
    <w:rsid w:val="00432125"/>
    <w:rsid w:val="0043349E"/>
    <w:rsid w:val="004335FB"/>
    <w:rsid w:val="00433C1E"/>
    <w:rsid w:val="00433C86"/>
    <w:rsid w:val="00433F29"/>
    <w:rsid w:val="00434214"/>
    <w:rsid w:val="004350E1"/>
    <w:rsid w:val="00435653"/>
    <w:rsid w:val="00435983"/>
    <w:rsid w:val="00435FCE"/>
    <w:rsid w:val="0043604E"/>
    <w:rsid w:val="004361F0"/>
    <w:rsid w:val="00436CA7"/>
    <w:rsid w:val="00437075"/>
    <w:rsid w:val="004374A5"/>
    <w:rsid w:val="004376B8"/>
    <w:rsid w:val="004379C4"/>
    <w:rsid w:val="00437CFE"/>
    <w:rsid w:val="004402EF"/>
    <w:rsid w:val="004409AA"/>
    <w:rsid w:val="00440DE7"/>
    <w:rsid w:val="00440E3A"/>
    <w:rsid w:val="00441BE9"/>
    <w:rsid w:val="004420D6"/>
    <w:rsid w:val="00442388"/>
    <w:rsid w:val="00443670"/>
    <w:rsid w:val="0044458B"/>
    <w:rsid w:val="004456A9"/>
    <w:rsid w:val="00446045"/>
    <w:rsid w:val="004504AB"/>
    <w:rsid w:val="004508EB"/>
    <w:rsid w:val="00451883"/>
    <w:rsid w:val="00451999"/>
    <w:rsid w:val="00453E3E"/>
    <w:rsid w:val="00455146"/>
    <w:rsid w:val="00455E05"/>
    <w:rsid w:val="00456131"/>
    <w:rsid w:val="004564CF"/>
    <w:rsid w:val="00457560"/>
    <w:rsid w:val="00460200"/>
    <w:rsid w:val="00460385"/>
    <w:rsid w:val="004606CB"/>
    <w:rsid w:val="00460814"/>
    <w:rsid w:val="004608D2"/>
    <w:rsid w:val="00461901"/>
    <w:rsid w:val="004619D4"/>
    <w:rsid w:val="0046242F"/>
    <w:rsid w:val="00462919"/>
    <w:rsid w:val="00462CF7"/>
    <w:rsid w:val="004631D8"/>
    <w:rsid w:val="00463588"/>
    <w:rsid w:val="004637A5"/>
    <w:rsid w:val="00463B01"/>
    <w:rsid w:val="00463CD8"/>
    <w:rsid w:val="004641B7"/>
    <w:rsid w:val="00464520"/>
    <w:rsid w:val="00464B75"/>
    <w:rsid w:val="00464E10"/>
    <w:rsid w:val="004658BD"/>
    <w:rsid w:val="004658DF"/>
    <w:rsid w:val="00465CF8"/>
    <w:rsid w:val="00465F57"/>
    <w:rsid w:val="004663ED"/>
    <w:rsid w:val="004670B6"/>
    <w:rsid w:val="004702C4"/>
    <w:rsid w:val="0047088E"/>
    <w:rsid w:val="00471682"/>
    <w:rsid w:val="00472363"/>
    <w:rsid w:val="00472575"/>
    <w:rsid w:val="00472D57"/>
    <w:rsid w:val="0047318A"/>
    <w:rsid w:val="0047414D"/>
    <w:rsid w:val="004753BC"/>
    <w:rsid w:val="00475B50"/>
    <w:rsid w:val="00475C95"/>
    <w:rsid w:val="004763D5"/>
    <w:rsid w:val="00476DDB"/>
    <w:rsid w:val="004771BC"/>
    <w:rsid w:val="0047726B"/>
    <w:rsid w:val="00477961"/>
    <w:rsid w:val="004779ED"/>
    <w:rsid w:val="00477AE5"/>
    <w:rsid w:val="00480799"/>
    <w:rsid w:val="00481F58"/>
    <w:rsid w:val="00482388"/>
    <w:rsid w:val="004830C0"/>
    <w:rsid w:val="0048384F"/>
    <w:rsid w:val="00484512"/>
    <w:rsid w:val="0048459A"/>
    <w:rsid w:val="004848C1"/>
    <w:rsid w:val="00484AAB"/>
    <w:rsid w:val="00484FDA"/>
    <w:rsid w:val="00485469"/>
    <w:rsid w:val="0048690A"/>
    <w:rsid w:val="004874AC"/>
    <w:rsid w:val="00490DDF"/>
    <w:rsid w:val="00490ED5"/>
    <w:rsid w:val="0049183E"/>
    <w:rsid w:val="00492318"/>
    <w:rsid w:val="004933F5"/>
    <w:rsid w:val="00494104"/>
    <w:rsid w:val="004942AE"/>
    <w:rsid w:val="004945B4"/>
    <w:rsid w:val="00494618"/>
    <w:rsid w:val="00495CC0"/>
    <w:rsid w:val="004963F0"/>
    <w:rsid w:val="00496F74"/>
    <w:rsid w:val="0049723A"/>
    <w:rsid w:val="004973F0"/>
    <w:rsid w:val="00497425"/>
    <w:rsid w:val="004A2581"/>
    <w:rsid w:val="004A2771"/>
    <w:rsid w:val="004A35D8"/>
    <w:rsid w:val="004A3BA4"/>
    <w:rsid w:val="004A4E00"/>
    <w:rsid w:val="004A5A33"/>
    <w:rsid w:val="004A5C23"/>
    <w:rsid w:val="004A5DB0"/>
    <w:rsid w:val="004A5E09"/>
    <w:rsid w:val="004A5EB4"/>
    <w:rsid w:val="004A79FE"/>
    <w:rsid w:val="004A7D2A"/>
    <w:rsid w:val="004B0288"/>
    <w:rsid w:val="004B0679"/>
    <w:rsid w:val="004B2721"/>
    <w:rsid w:val="004B3DFB"/>
    <w:rsid w:val="004B4925"/>
    <w:rsid w:val="004B6433"/>
    <w:rsid w:val="004B6A87"/>
    <w:rsid w:val="004B6B4F"/>
    <w:rsid w:val="004B728D"/>
    <w:rsid w:val="004B7BBE"/>
    <w:rsid w:val="004C0CA1"/>
    <w:rsid w:val="004C0D37"/>
    <w:rsid w:val="004C112B"/>
    <w:rsid w:val="004C1D02"/>
    <w:rsid w:val="004C2796"/>
    <w:rsid w:val="004C30CF"/>
    <w:rsid w:val="004C3B49"/>
    <w:rsid w:val="004C3DBD"/>
    <w:rsid w:val="004C3EB1"/>
    <w:rsid w:val="004C4183"/>
    <w:rsid w:val="004C42B6"/>
    <w:rsid w:val="004C4F57"/>
    <w:rsid w:val="004C4FF9"/>
    <w:rsid w:val="004C50C9"/>
    <w:rsid w:val="004C6156"/>
    <w:rsid w:val="004C6224"/>
    <w:rsid w:val="004C6553"/>
    <w:rsid w:val="004C695F"/>
    <w:rsid w:val="004C6E6D"/>
    <w:rsid w:val="004C7B3F"/>
    <w:rsid w:val="004C7B72"/>
    <w:rsid w:val="004C7F63"/>
    <w:rsid w:val="004D067C"/>
    <w:rsid w:val="004D0C07"/>
    <w:rsid w:val="004D129D"/>
    <w:rsid w:val="004D13D6"/>
    <w:rsid w:val="004D1CD6"/>
    <w:rsid w:val="004D58EB"/>
    <w:rsid w:val="004D5EC4"/>
    <w:rsid w:val="004D6010"/>
    <w:rsid w:val="004D6113"/>
    <w:rsid w:val="004D638E"/>
    <w:rsid w:val="004D63C5"/>
    <w:rsid w:val="004D6FE3"/>
    <w:rsid w:val="004D73B1"/>
    <w:rsid w:val="004D7D64"/>
    <w:rsid w:val="004E06AA"/>
    <w:rsid w:val="004E24A2"/>
    <w:rsid w:val="004E25C4"/>
    <w:rsid w:val="004E29B4"/>
    <w:rsid w:val="004E2CA1"/>
    <w:rsid w:val="004E4BD7"/>
    <w:rsid w:val="004E4C5E"/>
    <w:rsid w:val="004E6808"/>
    <w:rsid w:val="004E6ADF"/>
    <w:rsid w:val="004E74CB"/>
    <w:rsid w:val="004E7F3E"/>
    <w:rsid w:val="004F08D0"/>
    <w:rsid w:val="004F0A15"/>
    <w:rsid w:val="004F0AE7"/>
    <w:rsid w:val="004F3A65"/>
    <w:rsid w:val="004F4604"/>
    <w:rsid w:val="004F4791"/>
    <w:rsid w:val="004F55DA"/>
    <w:rsid w:val="004F57B4"/>
    <w:rsid w:val="004F5CC7"/>
    <w:rsid w:val="004F5FCC"/>
    <w:rsid w:val="004F60FC"/>
    <w:rsid w:val="004F615B"/>
    <w:rsid w:val="004F70FC"/>
    <w:rsid w:val="004F73FD"/>
    <w:rsid w:val="004F74EE"/>
    <w:rsid w:val="004F79FF"/>
    <w:rsid w:val="0050281F"/>
    <w:rsid w:val="00502AE3"/>
    <w:rsid w:val="005038B3"/>
    <w:rsid w:val="00503917"/>
    <w:rsid w:val="00503AEE"/>
    <w:rsid w:val="005044E9"/>
    <w:rsid w:val="005053F3"/>
    <w:rsid w:val="00505D4E"/>
    <w:rsid w:val="00506A1D"/>
    <w:rsid w:val="00506CE0"/>
    <w:rsid w:val="005101E5"/>
    <w:rsid w:val="0051074D"/>
    <w:rsid w:val="00512618"/>
    <w:rsid w:val="005132E1"/>
    <w:rsid w:val="00513745"/>
    <w:rsid w:val="00513805"/>
    <w:rsid w:val="00513C80"/>
    <w:rsid w:val="00513CFC"/>
    <w:rsid w:val="00514220"/>
    <w:rsid w:val="00514FFB"/>
    <w:rsid w:val="00515531"/>
    <w:rsid w:val="00516149"/>
    <w:rsid w:val="00516769"/>
    <w:rsid w:val="00520018"/>
    <w:rsid w:val="00520769"/>
    <w:rsid w:val="00520B18"/>
    <w:rsid w:val="00520DE1"/>
    <w:rsid w:val="0052121E"/>
    <w:rsid w:val="0052177C"/>
    <w:rsid w:val="005221BE"/>
    <w:rsid w:val="00523234"/>
    <w:rsid w:val="005234EC"/>
    <w:rsid w:val="00524543"/>
    <w:rsid w:val="00524916"/>
    <w:rsid w:val="00524C2B"/>
    <w:rsid w:val="00524CD9"/>
    <w:rsid w:val="00524E21"/>
    <w:rsid w:val="0052528B"/>
    <w:rsid w:val="005258A0"/>
    <w:rsid w:val="0052685A"/>
    <w:rsid w:val="00526F86"/>
    <w:rsid w:val="00527468"/>
    <w:rsid w:val="005277F3"/>
    <w:rsid w:val="00530D2F"/>
    <w:rsid w:val="00530F58"/>
    <w:rsid w:val="005310B8"/>
    <w:rsid w:val="005315A5"/>
    <w:rsid w:val="005315C1"/>
    <w:rsid w:val="00531A97"/>
    <w:rsid w:val="00531ADB"/>
    <w:rsid w:val="00531B6E"/>
    <w:rsid w:val="005320AE"/>
    <w:rsid w:val="005324DD"/>
    <w:rsid w:val="00532629"/>
    <w:rsid w:val="00532EFD"/>
    <w:rsid w:val="00533360"/>
    <w:rsid w:val="005341AE"/>
    <w:rsid w:val="00534F66"/>
    <w:rsid w:val="00535192"/>
    <w:rsid w:val="005352D5"/>
    <w:rsid w:val="005362E0"/>
    <w:rsid w:val="00536C2F"/>
    <w:rsid w:val="005408B2"/>
    <w:rsid w:val="005414D6"/>
    <w:rsid w:val="00542438"/>
    <w:rsid w:val="005424A9"/>
    <w:rsid w:val="00542789"/>
    <w:rsid w:val="00542BD9"/>
    <w:rsid w:val="00542E13"/>
    <w:rsid w:val="00543A38"/>
    <w:rsid w:val="00543AC2"/>
    <w:rsid w:val="00543D1B"/>
    <w:rsid w:val="00544932"/>
    <w:rsid w:val="00544FB6"/>
    <w:rsid w:val="00545CB7"/>
    <w:rsid w:val="00546316"/>
    <w:rsid w:val="00546B8C"/>
    <w:rsid w:val="00546E4E"/>
    <w:rsid w:val="00546F39"/>
    <w:rsid w:val="005471C4"/>
    <w:rsid w:val="00547D22"/>
    <w:rsid w:val="00551440"/>
    <w:rsid w:val="00551CB4"/>
    <w:rsid w:val="00552030"/>
    <w:rsid w:val="0055281A"/>
    <w:rsid w:val="00552891"/>
    <w:rsid w:val="00552941"/>
    <w:rsid w:val="00552F3B"/>
    <w:rsid w:val="005534C2"/>
    <w:rsid w:val="00553502"/>
    <w:rsid w:val="005537BD"/>
    <w:rsid w:val="0055417E"/>
    <w:rsid w:val="00554344"/>
    <w:rsid w:val="0055475E"/>
    <w:rsid w:val="00555327"/>
    <w:rsid w:val="00555E55"/>
    <w:rsid w:val="00555F66"/>
    <w:rsid w:val="00556066"/>
    <w:rsid w:val="005604B9"/>
    <w:rsid w:val="00560B5B"/>
    <w:rsid w:val="00561102"/>
    <w:rsid w:val="0056140C"/>
    <w:rsid w:val="005623DE"/>
    <w:rsid w:val="0056275E"/>
    <w:rsid w:val="00563A09"/>
    <w:rsid w:val="005648CA"/>
    <w:rsid w:val="005652F9"/>
    <w:rsid w:val="00565467"/>
    <w:rsid w:val="0056569A"/>
    <w:rsid w:val="005658A9"/>
    <w:rsid w:val="005660A4"/>
    <w:rsid w:val="00566102"/>
    <w:rsid w:val="005664FE"/>
    <w:rsid w:val="00566544"/>
    <w:rsid w:val="005665D3"/>
    <w:rsid w:val="0056767C"/>
    <w:rsid w:val="00567860"/>
    <w:rsid w:val="0057021B"/>
    <w:rsid w:val="005705E1"/>
    <w:rsid w:val="005707C7"/>
    <w:rsid w:val="00570B4A"/>
    <w:rsid w:val="00570BF4"/>
    <w:rsid w:val="00571A70"/>
    <w:rsid w:val="0057221E"/>
    <w:rsid w:val="00573609"/>
    <w:rsid w:val="00573A4B"/>
    <w:rsid w:val="00573FA3"/>
    <w:rsid w:val="0057462D"/>
    <w:rsid w:val="00574841"/>
    <w:rsid w:val="00575071"/>
    <w:rsid w:val="005757DA"/>
    <w:rsid w:val="00575A37"/>
    <w:rsid w:val="005764BA"/>
    <w:rsid w:val="00577182"/>
    <w:rsid w:val="005774FA"/>
    <w:rsid w:val="00580845"/>
    <w:rsid w:val="00580D4E"/>
    <w:rsid w:val="0058100D"/>
    <w:rsid w:val="00581A57"/>
    <w:rsid w:val="00581E7B"/>
    <w:rsid w:val="00584914"/>
    <w:rsid w:val="0058517F"/>
    <w:rsid w:val="005854B2"/>
    <w:rsid w:val="0058558D"/>
    <w:rsid w:val="00585777"/>
    <w:rsid w:val="0058663D"/>
    <w:rsid w:val="00586C10"/>
    <w:rsid w:val="00587302"/>
    <w:rsid w:val="005876A4"/>
    <w:rsid w:val="00587DDE"/>
    <w:rsid w:val="005906BF"/>
    <w:rsid w:val="00590E92"/>
    <w:rsid w:val="0059159F"/>
    <w:rsid w:val="005920D1"/>
    <w:rsid w:val="00592470"/>
    <w:rsid w:val="0059249B"/>
    <w:rsid w:val="00592A18"/>
    <w:rsid w:val="00592D31"/>
    <w:rsid w:val="005933A3"/>
    <w:rsid w:val="00593F43"/>
    <w:rsid w:val="00594168"/>
    <w:rsid w:val="005942F9"/>
    <w:rsid w:val="005944EF"/>
    <w:rsid w:val="0059639D"/>
    <w:rsid w:val="00596645"/>
    <w:rsid w:val="00596789"/>
    <w:rsid w:val="00596BAD"/>
    <w:rsid w:val="00596CB4"/>
    <w:rsid w:val="00597122"/>
    <w:rsid w:val="00597647"/>
    <w:rsid w:val="00597888"/>
    <w:rsid w:val="00597B9F"/>
    <w:rsid w:val="005A142F"/>
    <w:rsid w:val="005A2233"/>
    <w:rsid w:val="005A2615"/>
    <w:rsid w:val="005A27C0"/>
    <w:rsid w:val="005A29F3"/>
    <w:rsid w:val="005A2FAD"/>
    <w:rsid w:val="005A353F"/>
    <w:rsid w:val="005A44D5"/>
    <w:rsid w:val="005A4715"/>
    <w:rsid w:val="005A478D"/>
    <w:rsid w:val="005A4F12"/>
    <w:rsid w:val="005A5018"/>
    <w:rsid w:val="005A5120"/>
    <w:rsid w:val="005A60B6"/>
    <w:rsid w:val="005A6164"/>
    <w:rsid w:val="005B15D5"/>
    <w:rsid w:val="005B1ED9"/>
    <w:rsid w:val="005B2105"/>
    <w:rsid w:val="005B27A3"/>
    <w:rsid w:val="005B30D2"/>
    <w:rsid w:val="005B3811"/>
    <w:rsid w:val="005B3ADF"/>
    <w:rsid w:val="005B3D89"/>
    <w:rsid w:val="005B4AB2"/>
    <w:rsid w:val="005B4C9F"/>
    <w:rsid w:val="005B5A15"/>
    <w:rsid w:val="005B74CB"/>
    <w:rsid w:val="005B766A"/>
    <w:rsid w:val="005B7DB4"/>
    <w:rsid w:val="005C102C"/>
    <w:rsid w:val="005C1F25"/>
    <w:rsid w:val="005C2F7B"/>
    <w:rsid w:val="005C3398"/>
    <w:rsid w:val="005C457A"/>
    <w:rsid w:val="005C464A"/>
    <w:rsid w:val="005C4CED"/>
    <w:rsid w:val="005C4E8E"/>
    <w:rsid w:val="005C50FE"/>
    <w:rsid w:val="005C590C"/>
    <w:rsid w:val="005C5945"/>
    <w:rsid w:val="005C7030"/>
    <w:rsid w:val="005C70CA"/>
    <w:rsid w:val="005C7BF2"/>
    <w:rsid w:val="005D07E0"/>
    <w:rsid w:val="005D0B7E"/>
    <w:rsid w:val="005D0CB3"/>
    <w:rsid w:val="005D172A"/>
    <w:rsid w:val="005D314B"/>
    <w:rsid w:val="005D3C02"/>
    <w:rsid w:val="005D4C43"/>
    <w:rsid w:val="005D4FA0"/>
    <w:rsid w:val="005D5049"/>
    <w:rsid w:val="005D51C5"/>
    <w:rsid w:val="005D62BC"/>
    <w:rsid w:val="005D732A"/>
    <w:rsid w:val="005D73C9"/>
    <w:rsid w:val="005D7730"/>
    <w:rsid w:val="005D7A56"/>
    <w:rsid w:val="005E012E"/>
    <w:rsid w:val="005E0240"/>
    <w:rsid w:val="005E041B"/>
    <w:rsid w:val="005E0442"/>
    <w:rsid w:val="005E0D0A"/>
    <w:rsid w:val="005E1248"/>
    <w:rsid w:val="005E21EF"/>
    <w:rsid w:val="005E5586"/>
    <w:rsid w:val="005E5701"/>
    <w:rsid w:val="005E58B3"/>
    <w:rsid w:val="005E6043"/>
    <w:rsid w:val="005E694A"/>
    <w:rsid w:val="005E6ABA"/>
    <w:rsid w:val="005E6CF6"/>
    <w:rsid w:val="005E6DEF"/>
    <w:rsid w:val="005E7714"/>
    <w:rsid w:val="005E7A4F"/>
    <w:rsid w:val="005F02F3"/>
    <w:rsid w:val="005F0EF9"/>
    <w:rsid w:val="005F1052"/>
    <w:rsid w:val="005F127E"/>
    <w:rsid w:val="005F3105"/>
    <w:rsid w:val="005F4910"/>
    <w:rsid w:val="005F4CD5"/>
    <w:rsid w:val="005F5E88"/>
    <w:rsid w:val="005F5F40"/>
    <w:rsid w:val="005F6A87"/>
    <w:rsid w:val="00601033"/>
    <w:rsid w:val="0060201D"/>
    <w:rsid w:val="00602677"/>
    <w:rsid w:val="0060270C"/>
    <w:rsid w:val="00602B77"/>
    <w:rsid w:val="00603B59"/>
    <w:rsid w:val="00603E0F"/>
    <w:rsid w:val="00604B3E"/>
    <w:rsid w:val="0060612F"/>
    <w:rsid w:val="0060643B"/>
    <w:rsid w:val="00606B37"/>
    <w:rsid w:val="00607816"/>
    <w:rsid w:val="006102A0"/>
    <w:rsid w:val="0061187E"/>
    <w:rsid w:val="006124F0"/>
    <w:rsid w:val="00613569"/>
    <w:rsid w:val="00613997"/>
    <w:rsid w:val="006143A2"/>
    <w:rsid w:val="006147A0"/>
    <w:rsid w:val="00614D20"/>
    <w:rsid w:val="006150C5"/>
    <w:rsid w:val="00615369"/>
    <w:rsid w:val="006159D3"/>
    <w:rsid w:val="00616214"/>
    <w:rsid w:val="00616266"/>
    <w:rsid w:val="00617DC0"/>
    <w:rsid w:val="006209F2"/>
    <w:rsid w:val="00620A5A"/>
    <w:rsid w:val="00620AC7"/>
    <w:rsid w:val="00621639"/>
    <w:rsid w:val="006225C3"/>
    <w:rsid w:val="00622B16"/>
    <w:rsid w:val="00623AD2"/>
    <w:rsid w:val="00623FD7"/>
    <w:rsid w:val="006241C4"/>
    <w:rsid w:val="00624937"/>
    <w:rsid w:val="00624A76"/>
    <w:rsid w:val="00624E7B"/>
    <w:rsid w:val="006253F0"/>
    <w:rsid w:val="0062540D"/>
    <w:rsid w:val="006261DC"/>
    <w:rsid w:val="00626A38"/>
    <w:rsid w:val="0062718C"/>
    <w:rsid w:val="00630B0F"/>
    <w:rsid w:val="00630C65"/>
    <w:rsid w:val="00630D25"/>
    <w:rsid w:val="0063231F"/>
    <w:rsid w:val="00633348"/>
    <w:rsid w:val="00634717"/>
    <w:rsid w:val="00635049"/>
    <w:rsid w:val="00635362"/>
    <w:rsid w:val="006355E1"/>
    <w:rsid w:val="0063678F"/>
    <w:rsid w:val="0063694F"/>
    <w:rsid w:val="00636ABF"/>
    <w:rsid w:val="006407F7"/>
    <w:rsid w:val="00640EC3"/>
    <w:rsid w:val="00641495"/>
    <w:rsid w:val="0064197C"/>
    <w:rsid w:val="00641B14"/>
    <w:rsid w:val="00642CB2"/>
    <w:rsid w:val="00643B05"/>
    <w:rsid w:val="00643F4F"/>
    <w:rsid w:val="00644383"/>
    <w:rsid w:val="00644728"/>
    <w:rsid w:val="00645739"/>
    <w:rsid w:val="00645D8C"/>
    <w:rsid w:val="0064682F"/>
    <w:rsid w:val="00646C62"/>
    <w:rsid w:val="0064707C"/>
    <w:rsid w:val="006473FB"/>
    <w:rsid w:val="00647889"/>
    <w:rsid w:val="0064793F"/>
    <w:rsid w:val="00647C13"/>
    <w:rsid w:val="00647E23"/>
    <w:rsid w:val="00651FF1"/>
    <w:rsid w:val="00652183"/>
    <w:rsid w:val="0065285B"/>
    <w:rsid w:val="00652A9C"/>
    <w:rsid w:val="00653160"/>
    <w:rsid w:val="0065400A"/>
    <w:rsid w:val="00654183"/>
    <w:rsid w:val="006543B6"/>
    <w:rsid w:val="006547D7"/>
    <w:rsid w:val="00654E5A"/>
    <w:rsid w:val="006551FB"/>
    <w:rsid w:val="0065548B"/>
    <w:rsid w:val="00657C17"/>
    <w:rsid w:val="00657D62"/>
    <w:rsid w:val="00660305"/>
    <w:rsid w:val="006612DC"/>
    <w:rsid w:val="00661348"/>
    <w:rsid w:val="00661454"/>
    <w:rsid w:val="0066170E"/>
    <w:rsid w:val="00662745"/>
    <w:rsid w:val="006638BD"/>
    <w:rsid w:val="00663939"/>
    <w:rsid w:val="00663A65"/>
    <w:rsid w:val="00663D04"/>
    <w:rsid w:val="00663D17"/>
    <w:rsid w:val="00663FC2"/>
    <w:rsid w:val="00664824"/>
    <w:rsid w:val="006649C5"/>
    <w:rsid w:val="00664A18"/>
    <w:rsid w:val="006664EA"/>
    <w:rsid w:val="006668A7"/>
    <w:rsid w:val="0066697B"/>
    <w:rsid w:val="00671BFA"/>
    <w:rsid w:val="00671C99"/>
    <w:rsid w:val="00672058"/>
    <w:rsid w:val="006729BF"/>
    <w:rsid w:val="006731E5"/>
    <w:rsid w:val="0067445A"/>
    <w:rsid w:val="0067482E"/>
    <w:rsid w:val="00674FFB"/>
    <w:rsid w:val="006758AD"/>
    <w:rsid w:val="00675B4A"/>
    <w:rsid w:val="00675C9C"/>
    <w:rsid w:val="006761B9"/>
    <w:rsid w:val="00676BCB"/>
    <w:rsid w:val="00676D9A"/>
    <w:rsid w:val="006772C1"/>
    <w:rsid w:val="00677410"/>
    <w:rsid w:val="006778BD"/>
    <w:rsid w:val="00677E16"/>
    <w:rsid w:val="00680247"/>
    <w:rsid w:val="006802DF"/>
    <w:rsid w:val="00680BAE"/>
    <w:rsid w:val="006819D2"/>
    <w:rsid w:val="00681D66"/>
    <w:rsid w:val="006831C1"/>
    <w:rsid w:val="006832CA"/>
    <w:rsid w:val="00683524"/>
    <w:rsid w:val="0068454A"/>
    <w:rsid w:val="00684CAE"/>
    <w:rsid w:val="00685538"/>
    <w:rsid w:val="00685B3A"/>
    <w:rsid w:val="00685BE8"/>
    <w:rsid w:val="00685E81"/>
    <w:rsid w:val="006863A2"/>
    <w:rsid w:val="00686A9A"/>
    <w:rsid w:val="00687298"/>
    <w:rsid w:val="0068733F"/>
    <w:rsid w:val="00687B48"/>
    <w:rsid w:val="00687E1E"/>
    <w:rsid w:val="00690173"/>
    <w:rsid w:val="0069045F"/>
    <w:rsid w:val="00690E16"/>
    <w:rsid w:val="00690EDD"/>
    <w:rsid w:val="0069137E"/>
    <w:rsid w:val="00691610"/>
    <w:rsid w:val="006920EC"/>
    <w:rsid w:val="006925CB"/>
    <w:rsid w:val="00692725"/>
    <w:rsid w:val="006928C2"/>
    <w:rsid w:val="006943EA"/>
    <w:rsid w:val="00694486"/>
    <w:rsid w:val="00694537"/>
    <w:rsid w:val="00695FC7"/>
    <w:rsid w:val="00696F3A"/>
    <w:rsid w:val="00697228"/>
    <w:rsid w:val="006975B5"/>
    <w:rsid w:val="00697ABF"/>
    <w:rsid w:val="006A0A1A"/>
    <w:rsid w:val="006A1709"/>
    <w:rsid w:val="006A1875"/>
    <w:rsid w:val="006A282F"/>
    <w:rsid w:val="006A31D5"/>
    <w:rsid w:val="006A44D8"/>
    <w:rsid w:val="006A46A6"/>
    <w:rsid w:val="006A4E44"/>
    <w:rsid w:val="006A4FA9"/>
    <w:rsid w:val="006A5ADB"/>
    <w:rsid w:val="006A5B5E"/>
    <w:rsid w:val="006A6B37"/>
    <w:rsid w:val="006A6E98"/>
    <w:rsid w:val="006A7031"/>
    <w:rsid w:val="006A7256"/>
    <w:rsid w:val="006B23E4"/>
    <w:rsid w:val="006B285C"/>
    <w:rsid w:val="006B28B9"/>
    <w:rsid w:val="006B2EE5"/>
    <w:rsid w:val="006B302C"/>
    <w:rsid w:val="006B327B"/>
    <w:rsid w:val="006B3BEB"/>
    <w:rsid w:val="006B3F29"/>
    <w:rsid w:val="006B435B"/>
    <w:rsid w:val="006B4B1C"/>
    <w:rsid w:val="006B5E6D"/>
    <w:rsid w:val="006B6257"/>
    <w:rsid w:val="006B6448"/>
    <w:rsid w:val="006B78A6"/>
    <w:rsid w:val="006C08F6"/>
    <w:rsid w:val="006C13F1"/>
    <w:rsid w:val="006C2FE6"/>
    <w:rsid w:val="006C3093"/>
    <w:rsid w:val="006C3BE1"/>
    <w:rsid w:val="006C481F"/>
    <w:rsid w:val="006C5497"/>
    <w:rsid w:val="006C5D25"/>
    <w:rsid w:val="006C613A"/>
    <w:rsid w:val="006C6597"/>
    <w:rsid w:val="006C6614"/>
    <w:rsid w:val="006C6765"/>
    <w:rsid w:val="006C6C13"/>
    <w:rsid w:val="006C707A"/>
    <w:rsid w:val="006C7084"/>
    <w:rsid w:val="006D00B6"/>
    <w:rsid w:val="006D00F2"/>
    <w:rsid w:val="006D0675"/>
    <w:rsid w:val="006D070C"/>
    <w:rsid w:val="006D0A96"/>
    <w:rsid w:val="006D10D8"/>
    <w:rsid w:val="006D1316"/>
    <w:rsid w:val="006D25D6"/>
    <w:rsid w:val="006D26CA"/>
    <w:rsid w:val="006D320E"/>
    <w:rsid w:val="006D34BD"/>
    <w:rsid w:val="006D354E"/>
    <w:rsid w:val="006D3B4D"/>
    <w:rsid w:val="006D3C3A"/>
    <w:rsid w:val="006D3EA4"/>
    <w:rsid w:val="006D466E"/>
    <w:rsid w:val="006D47BE"/>
    <w:rsid w:val="006D5A4F"/>
    <w:rsid w:val="006D5DA3"/>
    <w:rsid w:val="006D5E6B"/>
    <w:rsid w:val="006D6187"/>
    <w:rsid w:val="006D7189"/>
    <w:rsid w:val="006E15DE"/>
    <w:rsid w:val="006E1664"/>
    <w:rsid w:val="006E1ADE"/>
    <w:rsid w:val="006E1E76"/>
    <w:rsid w:val="006E2215"/>
    <w:rsid w:val="006E248C"/>
    <w:rsid w:val="006E29DD"/>
    <w:rsid w:val="006E2A23"/>
    <w:rsid w:val="006E34FC"/>
    <w:rsid w:val="006E3852"/>
    <w:rsid w:val="006E4157"/>
    <w:rsid w:val="006E4617"/>
    <w:rsid w:val="006E49E3"/>
    <w:rsid w:val="006E54E6"/>
    <w:rsid w:val="006E5B29"/>
    <w:rsid w:val="006E5B86"/>
    <w:rsid w:val="006E66F0"/>
    <w:rsid w:val="006E6CD5"/>
    <w:rsid w:val="006F02AA"/>
    <w:rsid w:val="006F02FA"/>
    <w:rsid w:val="006F05B2"/>
    <w:rsid w:val="006F05D8"/>
    <w:rsid w:val="006F21D8"/>
    <w:rsid w:val="006F22D5"/>
    <w:rsid w:val="006F2960"/>
    <w:rsid w:val="006F3B00"/>
    <w:rsid w:val="006F3B08"/>
    <w:rsid w:val="006F3D33"/>
    <w:rsid w:val="006F44D0"/>
    <w:rsid w:val="006F5948"/>
    <w:rsid w:val="006F645B"/>
    <w:rsid w:val="00700CD0"/>
    <w:rsid w:val="007013B7"/>
    <w:rsid w:val="0070164E"/>
    <w:rsid w:val="00701DD9"/>
    <w:rsid w:val="0070219A"/>
    <w:rsid w:val="007022B0"/>
    <w:rsid w:val="00702DAB"/>
    <w:rsid w:val="00702EED"/>
    <w:rsid w:val="00703037"/>
    <w:rsid w:val="00703B73"/>
    <w:rsid w:val="00703D55"/>
    <w:rsid w:val="0070425F"/>
    <w:rsid w:val="00704A91"/>
    <w:rsid w:val="007053EA"/>
    <w:rsid w:val="00705528"/>
    <w:rsid w:val="00706776"/>
    <w:rsid w:val="00707B86"/>
    <w:rsid w:val="0071014B"/>
    <w:rsid w:val="007109DD"/>
    <w:rsid w:val="00710C2C"/>
    <w:rsid w:val="00711301"/>
    <w:rsid w:val="0071239F"/>
    <w:rsid w:val="00712567"/>
    <w:rsid w:val="00712A98"/>
    <w:rsid w:val="00712F1F"/>
    <w:rsid w:val="007131E7"/>
    <w:rsid w:val="00714575"/>
    <w:rsid w:val="00714F09"/>
    <w:rsid w:val="007153FB"/>
    <w:rsid w:val="0071541E"/>
    <w:rsid w:val="0071576D"/>
    <w:rsid w:val="007160AA"/>
    <w:rsid w:val="007167DE"/>
    <w:rsid w:val="00716A92"/>
    <w:rsid w:val="007171FC"/>
    <w:rsid w:val="00717A05"/>
    <w:rsid w:val="0072061C"/>
    <w:rsid w:val="00721951"/>
    <w:rsid w:val="00722793"/>
    <w:rsid w:val="00723633"/>
    <w:rsid w:val="007237F3"/>
    <w:rsid w:val="007238AF"/>
    <w:rsid w:val="007248DD"/>
    <w:rsid w:val="0073098E"/>
    <w:rsid w:val="00730CF8"/>
    <w:rsid w:val="00730D2C"/>
    <w:rsid w:val="00731358"/>
    <w:rsid w:val="00731A13"/>
    <w:rsid w:val="0073226D"/>
    <w:rsid w:val="00733844"/>
    <w:rsid w:val="00734F32"/>
    <w:rsid w:val="0073588C"/>
    <w:rsid w:val="00735FA8"/>
    <w:rsid w:val="00736595"/>
    <w:rsid w:val="00736C2F"/>
    <w:rsid w:val="0074000D"/>
    <w:rsid w:val="007414CB"/>
    <w:rsid w:val="00741BA9"/>
    <w:rsid w:val="00742BED"/>
    <w:rsid w:val="00744BC3"/>
    <w:rsid w:val="00744FD4"/>
    <w:rsid w:val="00746F31"/>
    <w:rsid w:val="00747533"/>
    <w:rsid w:val="0075043A"/>
    <w:rsid w:val="0075050D"/>
    <w:rsid w:val="00750A65"/>
    <w:rsid w:val="00751111"/>
    <w:rsid w:val="007515C3"/>
    <w:rsid w:val="00752A29"/>
    <w:rsid w:val="00752BC6"/>
    <w:rsid w:val="00752DE4"/>
    <w:rsid w:val="00753606"/>
    <w:rsid w:val="00753B1A"/>
    <w:rsid w:val="00754A9E"/>
    <w:rsid w:val="00755931"/>
    <w:rsid w:val="0075595D"/>
    <w:rsid w:val="00755B67"/>
    <w:rsid w:val="00755CE9"/>
    <w:rsid w:val="00756049"/>
    <w:rsid w:val="007565BF"/>
    <w:rsid w:val="00756DA4"/>
    <w:rsid w:val="007578F1"/>
    <w:rsid w:val="00760183"/>
    <w:rsid w:val="007608DD"/>
    <w:rsid w:val="00760FDF"/>
    <w:rsid w:val="00763040"/>
    <w:rsid w:val="0076316B"/>
    <w:rsid w:val="0076318A"/>
    <w:rsid w:val="007635B5"/>
    <w:rsid w:val="00764925"/>
    <w:rsid w:val="00764A4C"/>
    <w:rsid w:val="0076556A"/>
    <w:rsid w:val="00765A5D"/>
    <w:rsid w:val="007663B0"/>
    <w:rsid w:val="007669EB"/>
    <w:rsid w:val="00766D81"/>
    <w:rsid w:val="00766EDE"/>
    <w:rsid w:val="0076740F"/>
    <w:rsid w:val="00767A5F"/>
    <w:rsid w:val="00767DA3"/>
    <w:rsid w:val="00770B03"/>
    <w:rsid w:val="00770CB3"/>
    <w:rsid w:val="00770DD8"/>
    <w:rsid w:val="0077164F"/>
    <w:rsid w:val="007716A5"/>
    <w:rsid w:val="0077177A"/>
    <w:rsid w:val="0077181C"/>
    <w:rsid w:val="00771885"/>
    <w:rsid w:val="00771D8B"/>
    <w:rsid w:val="007736E2"/>
    <w:rsid w:val="00773B07"/>
    <w:rsid w:val="00775FCC"/>
    <w:rsid w:val="007763DB"/>
    <w:rsid w:val="00776A69"/>
    <w:rsid w:val="00776AEE"/>
    <w:rsid w:val="007777DC"/>
    <w:rsid w:val="00777B02"/>
    <w:rsid w:val="00777F06"/>
    <w:rsid w:val="00780116"/>
    <w:rsid w:val="00780996"/>
    <w:rsid w:val="00780F97"/>
    <w:rsid w:val="007811D2"/>
    <w:rsid w:val="0078124E"/>
    <w:rsid w:val="00781275"/>
    <w:rsid w:val="0078186E"/>
    <w:rsid w:val="00782172"/>
    <w:rsid w:val="00782B30"/>
    <w:rsid w:val="00783DFC"/>
    <w:rsid w:val="007845F3"/>
    <w:rsid w:val="00785254"/>
    <w:rsid w:val="00786F13"/>
    <w:rsid w:val="00787970"/>
    <w:rsid w:val="007908D3"/>
    <w:rsid w:val="007909FC"/>
    <w:rsid w:val="00791559"/>
    <w:rsid w:val="007923D3"/>
    <w:rsid w:val="007928D9"/>
    <w:rsid w:val="00792AE9"/>
    <w:rsid w:val="00793877"/>
    <w:rsid w:val="00794F38"/>
    <w:rsid w:val="00795404"/>
    <w:rsid w:val="007956A4"/>
    <w:rsid w:val="00795BF5"/>
    <w:rsid w:val="00795F3D"/>
    <w:rsid w:val="00796894"/>
    <w:rsid w:val="00796BB4"/>
    <w:rsid w:val="00797989"/>
    <w:rsid w:val="007A0552"/>
    <w:rsid w:val="007A07E5"/>
    <w:rsid w:val="007A37D5"/>
    <w:rsid w:val="007A3806"/>
    <w:rsid w:val="007A39AC"/>
    <w:rsid w:val="007A3FAB"/>
    <w:rsid w:val="007A6516"/>
    <w:rsid w:val="007A72DB"/>
    <w:rsid w:val="007A7502"/>
    <w:rsid w:val="007A7745"/>
    <w:rsid w:val="007A77ED"/>
    <w:rsid w:val="007A7830"/>
    <w:rsid w:val="007B019A"/>
    <w:rsid w:val="007B0616"/>
    <w:rsid w:val="007B09B0"/>
    <w:rsid w:val="007B09D4"/>
    <w:rsid w:val="007B0E4E"/>
    <w:rsid w:val="007B141C"/>
    <w:rsid w:val="007B1691"/>
    <w:rsid w:val="007B1B4B"/>
    <w:rsid w:val="007B1B65"/>
    <w:rsid w:val="007B1CA8"/>
    <w:rsid w:val="007B1D25"/>
    <w:rsid w:val="007B2EC3"/>
    <w:rsid w:val="007B339C"/>
    <w:rsid w:val="007B34E9"/>
    <w:rsid w:val="007B3646"/>
    <w:rsid w:val="007B374D"/>
    <w:rsid w:val="007B4172"/>
    <w:rsid w:val="007B41CC"/>
    <w:rsid w:val="007B44F9"/>
    <w:rsid w:val="007B4DBB"/>
    <w:rsid w:val="007B54F6"/>
    <w:rsid w:val="007B753B"/>
    <w:rsid w:val="007B7F54"/>
    <w:rsid w:val="007C0548"/>
    <w:rsid w:val="007C1277"/>
    <w:rsid w:val="007C1D4F"/>
    <w:rsid w:val="007C1E40"/>
    <w:rsid w:val="007C20B8"/>
    <w:rsid w:val="007C236C"/>
    <w:rsid w:val="007C2CB4"/>
    <w:rsid w:val="007C450D"/>
    <w:rsid w:val="007C46FC"/>
    <w:rsid w:val="007C534B"/>
    <w:rsid w:val="007C5E9D"/>
    <w:rsid w:val="007C6842"/>
    <w:rsid w:val="007C6EAF"/>
    <w:rsid w:val="007C7C1A"/>
    <w:rsid w:val="007D017A"/>
    <w:rsid w:val="007D073A"/>
    <w:rsid w:val="007D0EDC"/>
    <w:rsid w:val="007D22DB"/>
    <w:rsid w:val="007D2B5D"/>
    <w:rsid w:val="007D2B84"/>
    <w:rsid w:val="007D2DE4"/>
    <w:rsid w:val="007D41EC"/>
    <w:rsid w:val="007D5046"/>
    <w:rsid w:val="007D5C4B"/>
    <w:rsid w:val="007D6A2E"/>
    <w:rsid w:val="007E00B6"/>
    <w:rsid w:val="007E1668"/>
    <w:rsid w:val="007E1898"/>
    <w:rsid w:val="007E1B1A"/>
    <w:rsid w:val="007E1BA6"/>
    <w:rsid w:val="007E20D9"/>
    <w:rsid w:val="007E2248"/>
    <w:rsid w:val="007E2426"/>
    <w:rsid w:val="007E27DE"/>
    <w:rsid w:val="007E28B2"/>
    <w:rsid w:val="007E2D37"/>
    <w:rsid w:val="007E3BE1"/>
    <w:rsid w:val="007E477A"/>
    <w:rsid w:val="007E51E4"/>
    <w:rsid w:val="007E5671"/>
    <w:rsid w:val="007E57A0"/>
    <w:rsid w:val="007E6896"/>
    <w:rsid w:val="007E6B02"/>
    <w:rsid w:val="007E6D0D"/>
    <w:rsid w:val="007E7827"/>
    <w:rsid w:val="007E79C1"/>
    <w:rsid w:val="007E7B73"/>
    <w:rsid w:val="007F0633"/>
    <w:rsid w:val="007F0CFD"/>
    <w:rsid w:val="007F1A4C"/>
    <w:rsid w:val="007F1A83"/>
    <w:rsid w:val="007F39CB"/>
    <w:rsid w:val="007F44C3"/>
    <w:rsid w:val="007F4B32"/>
    <w:rsid w:val="007F5D31"/>
    <w:rsid w:val="007F5F03"/>
    <w:rsid w:val="007F6212"/>
    <w:rsid w:val="007F650C"/>
    <w:rsid w:val="007F6573"/>
    <w:rsid w:val="007F675B"/>
    <w:rsid w:val="007F6DB8"/>
    <w:rsid w:val="007F6FF6"/>
    <w:rsid w:val="007F7483"/>
    <w:rsid w:val="008003F8"/>
    <w:rsid w:val="00801607"/>
    <w:rsid w:val="00801EE7"/>
    <w:rsid w:val="00803695"/>
    <w:rsid w:val="0080425B"/>
    <w:rsid w:val="008047E3"/>
    <w:rsid w:val="00804FEA"/>
    <w:rsid w:val="00805054"/>
    <w:rsid w:val="00805351"/>
    <w:rsid w:val="00805A27"/>
    <w:rsid w:val="00805E6D"/>
    <w:rsid w:val="00806469"/>
    <w:rsid w:val="0081006D"/>
    <w:rsid w:val="00810223"/>
    <w:rsid w:val="0081039E"/>
    <w:rsid w:val="0081124A"/>
    <w:rsid w:val="0081129A"/>
    <w:rsid w:val="008117E7"/>
    <w:rsid w:val="00811D2A"/>
    <w:rsid w:val="0081219D"/>
    <w:rsid w:val="008123F8"/>
    <w:rsid w:val="008125DA"/>
    <w:rsid w:val="0081371A"/>
    <w:rsid w:val="00813ECC"/>
    <w:rsid w:val="0081421F"/>
    <w:rsid w:val="00815E79"/>
    <w:rsid w:val="0081611F"/>
    <w:rsid w:val="00816A6F"/>
    <w:rsid w:val="00817070"/>
    <w:rsid w:val="00817CFE"/>
    <w:rsid w:val="00817F5F"/>
    <w:rsid w:val="008207A5"/>
    <w:rsid w:val="00820B2D"/>
    <w:rsid w:val="008210B9"/>
    <w:rsid w:val="00821A2F"/>
    <w:rsid w:val="0082243C"/>
    <w:rsid w:val="00822768"/>
    <w:rsid w:val="008228D1"/>
    <w:rsid w:val="00822C68"/>
    <w:rsid w:val="008230A0"/>
    <w:rsid w:val="0082384C"/>
    <w:rsid w:val="008245AB"/>
    <w:rsid w:val="0082465C"/>
    <w:rsid w:val="00824D80"/>
    <w:rsid w:val="0082589D"/>
    <w:rsid w:val="00826B41"/>
    <w:rsid w:val="00826D3E"/>
    <w:rsid w:val="008302A2"/>
    <w:rsid w:val="008304AA"/>
    <w:rsid w:val="00830710"/>
    <w:rsid w:val="00830C32"/>
    <w:rsid w:val="00831CAD"/>
    <w:rsid w:val="00831F5A"/>
    <w:rsid w:val="00832627"/>
    <w:rsid w:val="00832F2D"/>
    <w:rsid w:val="00833710"/>
    <w:rsid w:val="00833777"/>
    <w:rsid w:val="00833AF9"/>
    <w:rsid w:val="00833F4B"/>
    <w:rsid w:val="00834D1E"/>
    <w:rsid w:val="008352C0"/>
    <w:rsid w:val="0083542A"/>
    <w:rsid w:val="00835B2F"/>
    <w:rsid w:val="008407B8"/>
    <w:rsid w:val="008409BD"/>
    <w:rsid w:val="008426FD"/>
    <w:rsid w:val="00842995"/>
    <w:rsid w:val="00842DF8"/>
    <w:rsid w:val="00843AA5"/>
    <w:rsid w:val="00845862"/>
    <w:rsid w:val="00845BD5"/>
    <w:rsid w:val="00845FF4"/>
    <w:rsid w:val="00846000"/>
    <w:rsid w:val="00846088"/>
    <w:rsid w:val="00847239"/>
    <w:rsid w:val="00850FB8"/>
    <w:rsid w:val="008511EF"/>
    <w:rsid w:val="00851200"/>
    <w:rsid w:val="00851667"/>
    <w:rsid w:val="008518A0"/>
    <w:rsid w:val="00851AE0"/>
    <w:rsid w:val="00852002"/>
    <w:rsid w:val="00852686"/>
    <w:rsid w:val="00852FB2"/>
    <w:rsid w:val="00853144"/>
    <w:rsid w:val="0085364C"/>
    <w:rsid w:val="00853F95"/>
    <w:rsid w:val="00854094"/>
    <w:rsid w:val="0085434F"/>
    <w:rsid w:val="0085506D"/>
    <w:rsid w:val="0085598E"/>
    <w:rsid w:val="00856810"/>
    <w:rsid w:val="00856C4A"/>
    <w:rsid w:val="00856FF7"/>
    <w:rsid w:val="008570EC"/>
    <w:rsid w:val="008572F0"/>
    <w:rsid w:val="00857CD0"/>
    <w:rsid w:val="00861338"/>
    <w:rsid w:val="0086194A"/>
    <w:rsid w:val="00862292"/>
    <w:rsid w:val="008622C5"/>
    <w:rsid w:val="00862591"/>
    <w:rsid w:val="00863513"/>
    <w:rsid w:val="00863900"/>
    <w:rsid w:val="008639F0"/>
    <w:rsid w:val="00864687"/>
    <w:rsid w:val="00864866"/>
    <w:rsid w:val="008648D3"/>
    <w:rsid w:val="008659E6"/>
    <w:rsid w:val="00865CB0"/>
    <w:rsid w:val="00866298"/>
    <w:rsid w:val="0086674F"/>
    <w:rsid w:val="0086682F"/>
    <w:rsid w:val="00866DB3"/>
    <w:rsid w:val="00871861"/>
    <w:rsid w:val="00871D93"/>
    <w:rsid w:val="00872819"/>
    <w:rsid w:val="00873634"/>
    <w:rsid w:val="0087397A"/>
    <w:rsid w:val="008739EC"/>
    <w:rsid w:val="0087485D"/>
    <w:rsid w:val="00874B5D"/>
    <w:rsid w:val="00875738"/>
    <w:rsid w:val="00876F6B"/>
    <w:rsid w:val="008771BB"/>
    <w:rsid w:val="00877819"/>
    <w:rsid w:val="008803CC"/>
    <w:rsid w:val="00880495"/>
    <w:rsid w:val="008810D4"/>
    <w:rsid w:val="008810E6"/>
    <w:rsid w:val="00882558"/>
    <w:rsid w:val="00883732"/>
    <w:rsid w:val="00883D10"/>
    <w:rsid w:val="00884368"/>
    <w:rsid w:val="00885037"/>
    <w:rsid w:val="00885361"/>
    <w:rsid w:val="00885E24"/>
    <w:rsid w:val="00886167"/>
    <w:rsid w:val="00886ADC"/>
    <w:rsid w:val="00886D13"/>
    <w:rsid w:val="008877BD"/>
    <w:rsid w:val="00890B94"/>
    <w:rsid w:val="00890F4F"/>
    <w:rsid w:val="008918BC"/>
    <w:rsid w:val="00893B78"/>
    <w:rsid w:val="00893BE3"/>
    <w:rsid w:val="00893DBB"/>
    <w:rsid w:val="00895F60"/>
    <w:rsid w:val="00897003"/>
    <w:rsid w:val="00897BA1"/>
    <w:rsid w:val="008A1221"/>
    <w:rsid w:val="008A146D"/>
    <w:rsid w:val="008A1BDD"/>
    <w:rsid w:val="008A1E65"/>
    <w:rsid w:val="008A285F"/>
    <w:rsid w:val="008A3056"/>
    <w:rsid w:val="008A30D9"/>
    <w:rsid w:val="008A415F"/>
    <w:rsid w:val="008A4359"/>
    <w:rsid w:val="008A43BD"/>
    <w:rsid w:val="008A5136"/>
    <w:rsid w:val="008A6249"/>
    <w:rsid w:val="008A65F6"/>
    <w:rsid w:val="008B0174"/>
    <w:rsid w:val="008B0C67"/>
    <w:rsid w:val="008B1704"/>
    <w:rsid w:val="008B1E40"/>
    <w:rsid w:val="008B1F9F"/>
    <w:rsid w:val="008B2ED6"/>
    <w:rsid w:val="008B2F90"/>
    <w:rsid w:val="008B3D1E"/>
    <w:rsid w:val="008B47E4"/>
    <w:rsid w:val="008B4C3E"/>
    <w:rsid w:val="008B4E86"/>
    <w:rsid w:val="008B7BD5"/>
    <w:rsid w:val="008C079D"/>
    <w:rsid w:val="008C15C2"/>
    <w:rsid w:val="008C1A35"/>
    <w:rsid w:val="008C1CE6"/>
    <w:rsid w:val="008C2701"/>
    <w:rsid w:val="008C3B0A"/>
    <w:rsid w:val="008C4024"/>
    <w:rsid w:val="008C509A"/>
    <w:rsid w:val="008C519C"/>
    <w:rsid w:val="008C57A3"/>
    <w:rsid w:val="008C5941"/>
    <w:rsid w:val="008C69FF"/>
    <w:rsid w:val="008C72BA"/>
    <w:rsid w:val="008C7759"/>
    <w:rsid w:val="008D0770"/>
    <w:rsid w:val="008D0ED5"/>
    <w:rsid w:val="008D1C49"/>
    <w:rsid w:val="008D210C"/>
    <w:rsid w:val="008D2319"/>
    <w:rsid w:val="008D2C06"/>
    <w:rsid w:val="008D4101"/>
    <w:rsid w:val="008D5B49"/>
    <w:rsid w:val="008D6372"/>
    <w:rsid w:val="008D73F9"/>
    <w:rsid w:val="008D7A92"/>
    <w:rsid w:val="008D7AD8"/>
    <w:rsid w:val="008E0A9D"/>
    <w:rsid w:val="008E0CE3"/>
    <w:rsid w:val="008E0E28"/>
    <w:rsid w:val="008E23FF"/>
    <w:rsid w:val="008E249A"/>
    <w:rsid w:val="008E49EB"/>
    <w:rsid w:val="008E5468"/>
    <w:rsid w:val="008E75E9"/>
    <w:rsid w:val="008E7A8B"/>
    <w:rsid w:val="008E7EDE"/>
    <w:rsid w:val="008F07F1"/>
    <w:rsid w:val="008F0863"/>
    <w:rsid w:val="008F08FC"/>
    <w:rsid w:val="008F1415"/>
    <w:rsid w:val="008F1795"/>
    <w:rsid w:val="008F219B"/>
    <w:rsid w:val="008F2A43"/>
    <w:rsid w:val="008F2A6E"/>
    <w:rsid w:val="008F33D9"/>
    <w:rsid w:val="008F3601"/>
    <w:rsid w:val="008F3D84"/>
    <w:rsid w:val="008F4B6D"/>
    <w:rsid w:val="008F4D3F"/>
    <w:rsid w:val="008F59F7"/>
    <w:rsid w:val="008F63FB"/>
    <w:rsid w:val="008F6C12"/>
    <w:rsid w:val="008F6EB2"/>
    <w:rsid w:val="008F7084"/>
    <w:rsid w:val="008F71FF"/>
    <w:rsid w:val="008F722B"/>
    <w:rsid w:val="008F7557"/>
    <w:rsid w:val="008F7C1F"/>
    <w:rsid w:val="008F7C95"/>
    <w:rsid w:val="00901DA1"/>
    <w:rsid w:val="00901FE6"/>
    <w:rsid w:val="009030D0"/>
    <w:rsid w:val="00904A10"/>
    <w:rsid w:val="00906D3E"/>
    <w:rsid w:val="00906FEE"/>
    <w:rsid w:val="009101B0"/>
    <w:rsid w:val="0091083C"/>
    <w:rsid w:val="00910CBB"/>
    <w:rsid w:val="00912986"/>
    <w:rsid w:val="00913046"/>
    <w:rsid w:val="0091387C"/>
    <w:rsid w:val="009143A3"/>
    <w:rsid w:val="009159AB"/>
    <w:rsid w:val="00915BF5"/>
    <w:rsid w:val="00916125"/>
    <w:rsid w:val="00916B08"/>
    <w:rsid w:val="00916E4C"/>
    <w:rsid w:val="00917259"/>
    <w:rsid w:val="009177AA"/>
    <w:rsid w:val="00917B84"/>
    <w:rsid w:val="0092074D"/>
    <w:rsid w:val="00920BA4"/>
    <w:rsid w:val="00920E19"/>
    <w:rsid w:val="00921173"/>
    <w:rsid w:val="009219F4"/>
    <w:rsid w:val="00921D58"/>
    <w:rsid w:val="009227C5"/>
    <w:rsid w:val="009228C1"/>
    <w:rsid w:val="009228DA"/>
    <w:rsid w:val="00922F2D"/>
    <w:rsid w:val="00922F3B"/>
    <w:rsid w:val="009239D2"/>
    <w:rsid w:val="009249CE"/>
    <w:rsid w:val="00924AD5"/>
    <w:rsid w:val="00924EF3"/>
    <w:rsid w:val="0092572F"/>
    <w:rsid w:val="00926237"/>
    <w:rsid w:val="009262CF"/>
    <w:rsid w:val="00926A51"/>
    <w:rsid w:val="00927E95"/>
    <w:rsid w:val="00927EF1"/>
    <w:rsid w:val="00930044"/>
    <w:rsid w:val="00930308"/>
    <w:rsid w:val="00931041"/>
    <w:rsid w:val="0093121C"/>
    <w:rsid w:val="00931789"/>
    <w:rsid w:val="009323CC"/>
    <w:rsid w:val="00932A21"/>
    <w:rsid w:val="00932ACB"/>
    <w:rsid w:val="0093390A"/>
    <w:rsid w:val="00933B60"/>
    <w:rsid w:val="0093469B"/>
    <w:rsid w:val="00934863"/>
    <w:rsid w:val="00934BB0"/>
    <w:rsid w:val="00934CD2"/>
    <w:rsid w:val="009357D3"/>
    <w:rsid w:val="00936031"/>
    <w:rsid w:val="009360E3"/>
    <w:rsid w:val="00936465"/>
    <w:rsid w:val="00937B68"/>
    <w:rsid w:val="00937BAE"/>
    <w:rsid w:val="00937F44"/>
    <w:rsid w:val="00940760"/>
    <w:rsid w:val="0094088B"/>
    <w:rsid w:val="009413AE"/>
    <w:rsid w:val="0094156D"/>
    <w:rsid w:val="00943D46"/>
    <w:rsid w:val="0094422C"/>
    <w:rsid w:val="00944753"/>
    <w:rsid w:val="00944A1B"/>
    <w:rsid w:val="00944CD0"/>
    <w:rsid w:val="0094570F"/>
    <w:rsid w:val="00945870"/>
    <w:rsid w:val="00945A1B"/>
    <w:rsid w:val="009462E9"/>
    <w:rsid w:val="009468EC"/>
    <w:rsid w:val="00946B14"/>
    <w:rsid w:val="009471FF"/>
    <w:rsid w:val="009473B2"/>
    <w:rsid w:val="0095094A"/>
    <w:rsid w:val="00950C35"/>
    <w:rsid w:val="00950FDF"/>
    <w:rsid w:val="00951A7B"/>
    <w:rsid w:val="00952346"/>
    <w:rsid w:val="009531E5"/>
    <w:rsid w:val="009536C9"/>
    <w:rsid w:val="00953794"/>
    <w:rsid w:val="009537A0"/>
    <w:rsid w:val="00953FAC"/>
    <w:rsid w:val="009549E1"/>
    <w:rsid w:val="009556FC"/>
    <w:rsid w:val="009559C0"/>
    <w:rsid w:val="0095604C"/>
    <w:rsid w:val="009564BA"/>
    <w:rsid w:val="0095683E"/>
    <w:rsid w:val="00956ADD"/>
    <w:rsid w:val="00956DB0"/>
    <w:rsid w:val="00956FF7"/>
    <w:rsid w:val="00957DFC"/>
    <w:rsid w:val="0096080A"/>
    <w:rsid w:val="00961F48"/>
    <w:rsid w:val="009625E1"/>
    <w:rsid w:val="009628BB"/>
    <w:rsid w:val="00962A95"/>
    <w:rsid w:val="009633FF"/>
    <w:rsid w:val="009636A1"/>
    <w:rsid w:val="00963BFE"/>
    <w:rsid w:val="00963C7E"/>
    <w:rsid w:val="00963D3F"/>
    <w:rsid w:val="009645E8"/>
    <w:rsid w:val="009647B1"/>
    <w:rsid w:val="00964ADC"/>
    <w:rsid w:val="00964F94"/>
    <w:rsid w:val="009660FF"/>
    <w:rsid w:val="00967809"/>
    <w:rsid w:val="009702D2"/>
    <w:rsid w:val="0097130D"/>
    <w:rsid w:val="009713FB"/>
    <w:rsid w:val="009714FE"/>
    <w:rsid w:val="00972A26"/>
    <w:rsid w:val="00973448"/>
    <w:rsid w:val="009739F5"/>
    <w:rsid w:val="00974139"/>
    <w:rsid w:val="00974C33"/>
    <w:rsid w:val="009759AC"/>
    <w:rsid w:val="0097649A"/>
    <w:rsid w:val="00977847"/>
    <w:rsid w:val="009778B4"/>
    <w:rsid w:val="00980F65"/>
    <w:rsid w:val="009816A0"/>
    <w:rsid w:val="00982449"/>
    <w:rsid w:val="009832ED"/>
    <w:rsid w:val="00983FF6"/>
    <w:rsid w:val="009843B2"/>
    <w:rsid w:val="00984532"/>
    <w:rsid w:val="00984592"/>
    <w:rsid w:val="0098485B"/>
    <w:rsid w:val="00984F95"/>
    <w:rsid w:val="009858A8"/>
    <w:rsid w:val="00985CFE"/>
    <w:rsid w:val="00985D06"/>
    <w:rsid w:val="009862F0"/>
    <w:rsid w:val="00986392"/>
    <w:rsid w:val="00986407"/>
    <w:rsid w:val="00986650"/>
    <w:rsid w:val="00986866"/>
    <w:rsid w:val="00986A0F"/>
    <w:rsid w:val="00986B94"/>
    <w:rsid w:val="0098791A"/>
    <w:rsid w:val="009900E7"/>
    <w:rsid w:val="009903D5"/>
    <w:rsid w:val="0099093C"/>
    <w:rsid w:val="00991245"/>
    <w:rsid w:val="009915F6"/>
    <w:rsid w:val="00991C4A"/>
    <w:rsid w:val="00993372"/>
    <w:rsid w:val="0099373F"/>
    <w:rsid w:val="00993895"/>
    <w:rsid w:val="009940FB"/>
    <w:rsid w:val="009946FE"/>
    <w:rsid w:val="0099472E"/>
    <w:rsid w:val="00994B2A"/>
    <w:rsid w:val="009956DC"/>
    <w:rsid w:val="00995C96"/>
    <w:rsid w:val="00996166"/>
    <w:rsid w:val="00996307"/>
    <w:rsid w:val="0099657D"/>
    <w:rsid w:val="009969B2"/>
    <w:rsid w:val="00996C69"/>
    <w:rsid w:val="00997533"/>
    <w:rsid w:val="0099786D"/>
    <w:rsid w:val="009A0CFB"/>
    <w:rsid w:val="009A0D29"/>
    <w:rsid w:val="009A15DF"/>
    <w:rsid w:val="009A1722"/>
    <w:rsid w:val="009A1945"/>
    <w:rsid w:val="009A1BAD"/>
    <w:rsid w:val="009A1D98"/>
    <w:rsid w:val="009A2695"/>
    <w:rsid w:val="009A308D"/>
    <w:rsid w:val="009A309D"/>
    <w:rsid w:val="009A346A"/>
    <w:rsid w:val="009A3B88"/>
    <w:rsid w:val="009A3D8E"/>
    <w:rsid w:val="009A4780"/>
    <w:rsid w:val="009A4A32"/>
    <w:rsid w:val="009A4FAB"/>
    <w:rsid w:val="009A5154"/>
    <w:rsid w:val="009A581F"/>
    <w:rsid w:val="009A58C2"/>
    <w:rsid w:val="009A61E3"/>
    <w:rsid w:val="009A6BEA"/>
    <w:rsid w:val="009A70A5"/>
    <w:rsid w:val="009A72FF"/>
    <w:rsid w:val="009A7562"/>
    <w:rsid w:val="009A77AF"/>
    <w:rsid w:val="009B025C"/>
    <w:rsid w:val="009B02D8"/>
    <w:rsid w:val="009B095A"/>
    <w:rsid w:val="009B1C75"/>
    <w:rsid w:val="009B25CF"/>
    <w:rsid w:val="009B27B4"/>
    <w:rsid w:val="009B2AF9"/>
    <w:rsid w:val="009B36ED"/>
    <w:rsid w:val="009B3C75"/>
    <w:rsid w:val="009B3E4C"/>
    <w:rsid w:val="009B409E"/>
    <w:rsid w:val="009B45FB"/>
    <w:rsid w:val="009B4B77"/>
    <w:rsid w:val="009B4C79"/>
    <w:rsid w:val="009B4F05"/>
    <w:rsid w:val="009B538F"/>
    <w:rsid w:val="009B5880"/>
    <w:rsid w:val="009B5F4C"/>
    <w:rsid w:val="009B603A"/>
    <w:rsid w:val="009B6313"/>
    <w:rsid w:val="009B71A6"/>
    <w:rsid w:val="009B742D"/>
    <w:rsid w:val="009B7BBA"/>
    <w:rsid w:val="009C04CA"/>
    <w:rsid w:val="009C069F"/>
    <w:rsid w:val="009C0B77"/>
    <w:rsid w:val="009C130B"/>
    <w:rsid w:val="009C26F9"/>
    <w:rsid w:val="009C2D08"/>
    <w:rsid w:val="009C2E79"/>
    <w:rsid w:val="009C2FBA"/>
    <w:rsid w:val="009C4AA3"/>
    <w:rsid w:val="009C5017"/>
    <w:rsid w:val="009C5E6C"/>
    <w:rsid w:val="009C6724"/>
    <w:rsid w:val="009C6CFC"/>
    <w:rsid w:val="009C726B"/>
    <w:rsid w:val="009C7A55"/>
    <w:rsid w:val="009D04AE"/>
    <w:rsid w:val="009D0D20"/>
    <w:rsid w:val="009D12A5"/>
    <w:rsid w:val="009D2102"/>
    <w:rsid w:val="009D326B"/>
    <w:rsid w:val="009D3662"/>
    <w:rsid w:val="009D3E8E"/>
    <w:rsid w:val="009D467E"/>
    <w:rsid w:val="009D4ACA"/>
    <w:rsid w:val="009D503A"/>
    <w:rsid w:val="009D59A8"/>
    <w:rsid w:val="009D609A"/>
    <w:rsid w:val="009D6628"/>
    <w:rsid w:val="009D6B68"/>
    <w:rsid w:val="009D6B7B"/>
    <w:rsid w:val="009D6C84"/>
    <w:rsid w:val="009D705C"/>
    <w:rsid w:val="009D7A18"/>
    <w:rsid w:val="009D7D98"/>
    <w:rsid w:val="009E06C4"/>
    <w:rsid w:val="009E08FE"/>
    <w:rsid w:val="009E3D90"/>
    <w:rsid w:val="009E409A"/>
    <w:rsid w:val="009E4CCB"/>
    <w:rsid w:val="009E5A86"/>
    <w:rsid w:val="009E600B"/>
    <w:rsid w:val="009E64BB"/>
    <w:rsid w:val="009E69D8"/>
    <w:rsid w:val="009E6DC5"/>
    <w:rsid w:val="009E6F31"/>
    <w:rsid w:val="009F1A4C"/>
    <w:rsid w:val="009F2445"/>
    <w:rsid w:val="009F34B5"/>
    <w:rsid w:val="009F35BE"/>
    <w:rsid w:val="009F35E6"/>
    <w:rsid w:val="009F6F57"/>
    <w:rsid w:val="009F7FF0"/>
    <w:rsid w:val="00A00CB1"/>
    <w:rsid w:val="00A016C6"/>
    <w:rsid w:val="00A017C5"/>
    <w:rsid w:val="00A01C4B"/>
    <w:rsid w:val="00A02A1D"/>
    <w:rsid w:val="00A05948"/>
    <w:rsid w:val="00A05FAE"/>
    <w:rsid w:val="00A0623C"/>
    <w:rsid w:val="00A06299"/>
    <w:rsid w:val="00A06749"/>
    <w:rsid w:val="00A072B6"/>
    <w:rsid w:val="00A07952"/>
    <w:rsid w:val="00A07A9D"/>
    <w:rsid w:val="00A07DA8"/>
    <w:rsid w:val="00A102DB"/>
    <w:rsid w:val="00A1109C"/>
    <w:rsid w:val="00A1119E"/>
    <w:rsid w:val="00A11744"/>
    <w:rsid w:val="00A118DA"/>
    <w:rsid w:val="00A11F51"/>
    <w:rsid w:val="00A13903"/>
    <w:rsid w:val="00A141E3"/>
    <w:rsid w:val="00A1432B"/>
    <w:rsid w:val="00A146E3"/>
    <w:rsid w:val="00A156EA"/>
    <w:rsid w:val="00A158E8"/>
    <w:rsid w:val="00A15A6C"/>
    <w:rsid w:val="00A15C0C"/>
    <w:rsid w:val="00A170E8"/>
    <w:rsid w:val="00A17707"/>
    <w:rsid w:val="00A17C79"/>
    <w:rsid w:val="00A20749"/>
    <w:rsid w:val="00A22964"/>
    <w:rsid w:val="00A234D1"/>
    <w:rsid w:val="00A2428D"/>
    <w:rsid w:val="00A24E46"/>
    <w:rsid w:val="00A25302"/>
    <w:rsid w:val="00A2541F"/>
    <w:rsid w:val="00A2597F"/>
    <w:rsid w:val="00A262D7"/>
    <w:rsid w:val="00A2713E"/>
    <w:rsid w:val="00A271DA"/>
    <w:rsid w:val="00A279EB"/>
    <w:rsid w:val="00A27E50"/>
    <w:rsid w:val="00A30C0D"/>
    <w:rsid w:val="00A313CE"/>
    <w:rsid w:val="00A33615"/>
    <w:rsid w:val="00A33697"/>
    <w:rsid w:val="00A33C43"/>
    <w:rsid w:val="00A3484B"/>
    <w:rsid w:val="00A3503F"/>
    <w:rsid w:val="00A357FA"/>
    <w:rsid w:val="00A37044"/>
    <w:rsid w:val="00A370DE"/>
    <w:rsid w:val="00A37F4C"/>
    <w:rsid w:val="00A40018"/>
    <w:rsid w:val="00A406BA"/>
    <w:rsid w:val="00A408F3"/>
    <w:rsid w:val="00A4130B"/>
    <w:rsid w:val="00A4130C"/>
    <w:rsid w:val="00A416CF"/>
    <w:rsid w:val="00A42445"/>
    <w:rsid w:val="00A4319E"/>
    <w:rsid w:val="00A43C3B"/>
    <w:rsid w:val="00A43D17"/>
    <w:rsid w:val="00A43F64"/>
    <w:rsid w:val="00A43FE5"/>
    <w:rsid w:val="00A44366"/>
    <w:rsid w:val="00A44CD6"/>
    <w:rsid w:val="00A44E0E"/>
    <w:rsid w:val="00A44EDC"/>
    <w:rsid w:val="00A44FC4"/>
    <w:rsid w:val="00A452D6"/>
    <w:rsid w:val="00A454E8"/>
    <w:rsid w:val="00A45A65"/>
    <w:rsid w:val="00A45D20"/>
    <w:rsid w:val="00A45ECA"/>
    <w:rsid w:val="00A47BED"/>
    <w:rsid w:val="00A5265B"/>
    <w:rsid w:val="00A534FF"/>
    <w:rsid w:val="00A5477D"/>
    <w:rsid w:val="00A55FFA"/>
    <w:rsid w:val="00A56B55"/>
    <w:rsid w:val="00A56CB6"/>
    <w:rsid w:val="00A5714B"/>
    <w:rsid w:val="00A57266"/>
    <w:rsid w:val="00A57C43"/>
    <w:rsid w:val="00A57D07"/>
    <w:rsid w:val="00A60751"/>
    <w:rsid w:val="00A60979"/>
    <w:rsid w:val="00A60DBB"/>
    <w:rsid w:val="00A60E0F"/>
    <w:rsid w:val="00A616F4"/>
    <w:rsid w:val="00A618F3"/>
    <w:rsid w:val="00A61B1D"/>
    <w:rsid w:val="00A61CF1"/>
    <w:rsid w:val="00A62DE4"/>
    <w:rsid w:val="00A63476"/>
    <w:rsid w:val="00A637FE"/>
    <w:rsid w:val="00A63E5D"/>
    <w:rsid w:val="00A6509E"/>
    <w:rsid w:val="00A65939"/>
    <w:rsid w:val="00A65FF7"/>
    <w:rsid w:val="00A66DA7"/>
    <w:rsid w:val="00A66EFA"/>
    <w:rsid w:val="00A673FA"/>
    <w:rsid w:val="00A676ED"/>
    <w:rsid w:val="00A702AB"/>
    <w:rsid w:val="00A70670"/>
    <w:rsid w:val="00A70830"/>
    <w:rsid w:val="00A70CFC"/>
    <w:rsid w:val="00A70FCD"/>
    <w:rsid w:val="00A71A1B"/>
    <w:rsid w:val="00A71A43"/>
    <w:rsid w:val="00A72253"/>
    <w:rsid w:val="00A725E4"/>
    <w:rsid w:val="00A726DA"/>
    <w:rsid w:val="00A72933"/>
    <w:rsid w:val="00A72DB6"/>
    <w:rsid w:val="00A73DD5"/>
    <w:rsid w:val="00A74020"/>
    <w:rsid w:val="00A745D0"/>
    <w:rsid w:val="00A748CC"/>
    <w:rsid w:val="00A757E2"/>
    <w:rsid w:val="00A75884"/>
    <w:rsid w:val="00A759B7"/>
    <w:rsid w:val="00A75DAB"/>
    <w:rsid w:val="00A76C48"/>
    <w:rsid w:val="00A76DC8"/>
    <w:rsid w:val="00A77491"/>
    <w:rsid w:val="00A77916"/>
    <w:rsid w:val="00A77A15"/>
    <w:rsid w:val="00A77A2F"/>
    <w:rsid w:val="00A80DD5"/>
    <w:rsid w:val="00A81058"/>
    <w:rsid w:val="00A81128"/>
    <w:rsid w:val="00A81152"/>
    <w:rsid w:val="00A813BC"/>
    <w:rsid w:val="00A8246B"/>
    <w:rsid w:val="00A82BDA"/>
    <w:rsid w:val="00A832AA"/>
    <w:rsid w:val="00A835A4"/>
    <w:rsid w:val="00A8405C"/>
    <w:rsid w:val="00A8493C"/>
    <w:rsid w:val="00A850D5"/>
    <w:rsid w:val="00A85110"/>
    <w:rsid w:val="00A85A23"/>
    <w:rsid w:val="00A85BED"/>
    <w:rsid w:val="00A85D01"/>
    <w:rsid w:val="00A864E5"/>
    <w:rsid w:val="00A86B03"/>
    <w:rsid w:val="00A87436"/>
    <w:rsid w:val="00A8748B"/>
    <w:rsid w:val="00A87D8C"/>
    <w:rsid w:val="00A90264"/>
    <w:rsid w:val="00A9100D"/>
    <w:rsid w:val="00A9264D"/>
    <w:rsid w:val="00A92BF3"/>
    <w:rsid w:val="00A93F28"/>
    <w:rsid w:val="00A9418E"/>
    <w:rsid w:val="00A941A0"/>
    <w:rsid w:val="00A943A5"/>
    <w:rsid w:val="00A94D2E"/>
    <w:rsid w:val="00A9532B"/>
    <w:rsid w:val="00A956B4"/>
    <w:rsid w:val="00A95D5E"/>
    <w:rsid w:val="00A95D7C"/>
    <w:rsid w:val="00A9626C"/>
    <w:rsid w:val="00A966BA"/>
    <w:rsid w:val="00A96A32"/>
    <w:rsid w:val="00A96A47"/>
    <w:rsid w:val="00A9714F"/>
    <w:rsid w:val="00A9715B"/>
    <w:rsid w:val="00AA0132"/>
    <w:rsid w:val="00AA0B48"/>
    <w:rsid w:val="00AA0B99"/>
    <w:rsid w:val="00AA0D62"/>
    <w:rsid w:val="00AA0D7D"/>
    <w:rsid w:val="00AA13B0"/>
    <w:rsid w:val="00AA254D"/>
    <w:rsid w:val="00AA2960"/>
    <w:rsid w:val="00AA2A0F"/>
    <w:rsid w:val="00AA357D"/>
    <w:rsid w:val="00AA398B"/>
    <w:rsid w:val="00AA3A37"/>
    <w:rsid w:val="00AA3F5D"/>
    <w:rsid w:val="00AA4073"/>
    <w:rsid w:val="00AA4CD7"/>
    <w:rsid w:val="00AA4F2B"/>
    <w:rsid w:val="00AA60D9"/>
    <w:rsid w:val="00AA6D91"/>
    <w:rsid w:val="00AA6DF6"/>
    <w:rsid w:val="00AA79A4"/>
    <w:rsid w:val="00AB02DC"/>
    <w:rsid w:val="00AB0661"/>
    <w:rsid w:val="00AB101A"/>
    <w:rsid w:val="00AB11E5"/>
    <w:rsid w:val="00AB1A53"/>
    <w:rsid w:val="00AB1F9A"/>
    <w:rsid w:val="00AB2414"/>
    <w:rsid w:val="00AB28E8"/>
    <w:rsid w:val="00AB2981"/>
    <w:rsid w:val="00AB337E"/>
    <w:rsid w:val="00AB3694"/>
    <w:rsid w:val="00AB36D1"/>
    <w:rsid w:val="00AB3786"/>
    <w:rsid w:val="00AB3815"/>
    <w:rsid w:val="00AB493F"/>
    <w:rsid w:val="00AB4AC7"/>
    <w:rsid w:val="00AB5DC5"/>
    <w:rsid w:val="00AB5F45"/>
    <w:rsid w:val="00AB5FA7"/>
    <w:rsid w:val="00AB649B"/>
    <w:rsid w:val="00AB668C"/>
    <w:rsid w:val="00AB6BA3"/>
    <w:rsid w:val="00AB6D9C"/>
    <w:rsid w:val="00AB6E9E"/>
    <w:rsid w:val="00AB7474"/>
    <w:rsid w:val="00AC0129"/>
    <w:rsid w:val="00AC085E"/>
    <w:rsid w:val="00AC099D"/>
    <w:rsid w:val="00AC10E4"/>
    <w:rsid w:val="00AC169E"/>
    <w:rsid w:val="00AC1CEA"/>
    <w:rsid w:val="00AC1E18"/>
    <w:rsid w:val="00AC250B"/>
    <w:rsid w:val="00AC2E3F"/>
    <w:rsid w:val="00AC3AF5"/>
    <w:rsid w:val="00AC4AD8"/>
    <w:rsid w:val="00AC71AB"/>
    <w:rsid w:val="00AC7C02"/>
    <w:rsid w:val="00AD00D3"/>
    <w:rsid w:val="00AD0861"/>
    <w:rsid w:val="00AD1EDA"/>
    <w:rsid w:val="00AD2125"/>
    <w:rsid w:val="00AD257B"/>
    <w:rsid w:val="00AD291E"/>
    <w:rsid w:val="00AD3115"/>
    <w:rsid w:val="00AD39F2"/>
    <w:rsid w:val="00AD515A"/>
    <w:rsid w:val="00AD569C"/>
    <w:rsid w:val="00AD589E"/>
    <w:rsid w:val="00AD6A9E"/>
    <w:rsid w:val="00AD7120"/>
    <w:rsid w:val="00AE03A8"/>
    <w:rsid w:val="00AE1D32"/>
    <w:rsid w:val="00AE27E5"/>
    <w:rsid w:val="00AE2EDD"/>
    <w:rsid w:val="00AE36CC"/>
    <w:rsid w:val="00AE4242"/>
    <w:rsid w:val="00AE430C"/>
    <w:rsid w:val="00AE45B3"/>
    <w:rsid w:val="00AE45E9"/>
    <w:rsid w:val="00AE4E01"/>
    <w:rsid w:val="00AE54F2"/>
    <w:rsid w:val="00AE5E62"/>
    <w:rsid w:val="00AE689F"/>
    <w:rsid w:val="00AE6E7C"/>
    <w:rsid w:val="00AE7229"/>
    <w:rsid w:val="00AE7D42"/>
    <w:rsid w:val="00AF0051"/>
    <w:rsid w:val="00AF01DB"/>
    <w:rsid w:val="00AF04A9"/>
    <w:rsid w:val="00AF0554"/>
    <w:rsid w:val="00AF085A"/>
    <w:rsid w:val="00AF119C"/>
    <w:rsid w:val="00AF1989"/>
    <w:rsid w:val="00AF1E3B"/>
    <w:rsid w:val="00AF22A2"/>
    <w:rsid w:val="00AF23F3"/>
    <w:rsid w:val="00AF28EB"/>
    <w:rsid w:val="00AF2FF8"/>
    <w:rsid w:val="00AF451A"/>
    <w:rsid w:val="00AF45E4"/>
    <w:rsid w:val="00AF5CFD"/>
    <w:rsid w:val="00AF63D4"/>
    <w:rsid w:val="00AF63E9"/>
    <w:rsid w:val="00AF7B21"/>
    <w:rsid w:val="00B0051F"/>
    <w:rsid w:val="00B01158"/>
    <w:rsid w:val="00B01382"/>
    <w:rsid w:val="00B01BD9"/>
    <w:rsid w:val="00B01DC1"/>
    <w:rsid w:val="00B02406"/>
    <w:rsid w:val="00B02A56"/>
    <w:rsid w:val="00B02FA9"/>
    <w:rsid w:val="00B03B69"/>
    <w:rsid w:val="00B03BCF"/>
    <w:rsid w:val="00B0489B"/>
    <w:rsid w:val="00B05324"/>
    <w:rsid w:val="00B05D3A"/>
    <w:rsid w:val="00B05F89"/>
    <w:rsid w:val="00B06003"/>
    <w:rsid w:val="00B06541"/>
    <w:rsid w:val="00B065B5"/>
    <w:rsid w:val="00B06BDB"/>
    <w:rsid w:val="00B06C8A"/>
    <w:rsid w:val="00B10C99"/>
    <w:rsid w:val="00B11933"/>
    <w:rsid w:val="00B123E7"/>
    <w:rsid w:val="00B12B3F"/>
    <w:rsid w:val="00B12F86"/>
    <w:rsid w:val="00B13561"/>
    <w:rsid w:val="00B137EA"/>
    <w:rsid w:val="00B14411"/>
    <w:rsid w:val="00B14E78"/>
    <w:rsid w:val="00B14FB0"/>
    <w:rsid w:val="00B15DF3"/>
    <w:rsid w:val="00B162AC"/>
    <w:rsid w:val="00B16EE0"/>
    <w:rsid w:val="00B170C1"/>
    <w:rsid w:val="00B170CD"/>
    <w:rsid w:val="00B17678"/>
    <w:rsid w:val="00B205F4"/>
    <w:rsid w:val="00B20D69"/>
    <w:rsid w:val="00B21197"/>
    <w:rsid w:val="00B21ADC"/>
    <w:rsid w:val="00B231C9"/>
    <w:rsid w:val="00B23418"/>
    <w:rsid w:val="00B23AD6"/>
    <w:rsid w:val="00B249B3"/>
    <w:rsid w:val="00B24A88"/>
    <w:rsid w:val="00B24E67"/>
    <w:rsid w:val="00B24F8B"/>
    <w:rsid w:val="00B25AEB"/>
    <w:rsid w:val="00B26C80"/>
    <w:rsid w:val="00B27317"/>
    <w:rsid w:val="00B2757B"/>
    <w:rsid w:val="00B27782"/>
    <w:rsid w:val="00B30816"/>
    <w:rsid w:val="00B30DD1"/>
    <w:rsid w:val="00B32021"/>
    <w:rsid w:val="00B320C4"/>
    <w:rsid w:val="00B32883"/>
    <w:rsid w:val="00B32898"/>
    <w:rsid w:val="00B331E6"/>
    <w:rsid w:val="00B337AB"/>
    <w:rsid w:val="00B33880"/>
    <w:rsid w:val="00B35C60"/>
    <w:rsid w:val="00B36C7F"/>
    <w:rsid w:val="00B36C87"/>
    <w:rsid w:val="00B37AE6"/>
    <w:rsid w:val="00B37C33"/>
    <w:rsid w:val="00B4095C"/>
    <w:rsid w:val="00B41488"/>
    <w:rsid w:val="00B41FDB"/>
    <w:rsid w:val="00B42524"/>
    <w:rsid w:val="00B425F5"/>
    <w:rsid w:val="00B42CC0"/>
    <w:rsid w:val="00B42D11"/>
    <w:rsid w:val="00B42D6F"/>
    <w:rsid w:val="00B43800"/>
    <w:rsid w:val="00B44F59"/>
    <w:rsid w:val="00B4565E"/>
    <w:rsid w:val="00B457F1"/>
    <w:rsid w:val="00B45E5C"/>
    <w:rsid w:val="00B463C5"/>
    <w:rsid w:val="00B46D8A"/>
    <w:rsid w:val="00B46F1F"/>
    <w:rsid w:val="00B4764B"/>
    <w:rsid w:val="00B50001"/>
    <w:rsid w:val="00B50329"/>
    <w:rsid w:val="00B508A5"/>
    <w:rsid w:val="00B50A31"/>
    <w:rsid w:val="00B50DFC"/>
    <w:rsid w:val="00B51728"/>
    <w:rsid w:val="00B5196D"/>
    <w:rsid w:val="00B53620"/>
    <w:rsid w:val="00B54056"/>
    <w:rsid w:val="00B55089"/>
    <w:rsid w:val="00B5521E"/>
    <w:rsid w:val="00B5558A"/>
    <w:rsid w:val="00B5615B"/>
    <w:rsid w:val="00B564E2"/>
    <w:rsid w:val="00B5668D"/>
    <w:rsid w:val="00B56B3E"/>
    <w:rsid w:val="00B6000C"/>
    <w:rsid w:val="00B60380"/>
    <w:rsid w:val="00B609E3"/>
    <w:rsid w:val="00B61370"/>
    <w:rsid w:val="00B614C0"/>
    <w:rsid w:val="00B61A25"/>
    <w:rsid w:val="00B61B6B"/>
    <w:rsid w:val="00B61BCF"/>
    <w:rsid w:val="00B62132"/>
    <w:rsid w:val="00B62223"/>
    <w:rsid w:val="00B62E4B"/>
    <w:rsid w:val="00B63193"/>
    <w:rsid w:val="00B632C4"/>
    <w:rsid w:val="00B64054"/>
    <w:rsid w:val="00B64773"/>
    <w:rsid w:val="00B65489"/>
    <w:rsid w:val="00B657C6"/>
    <w:rsid w:val="00B65B29"/>
    <w:rsid w:val="00B66F11"/>
    <w:rsid w:val="00B67217"/>
    <w:rsid w:val="00B673D1"/>
    <w:rsid w:val="00B70D73"/>
    <w:rsid w:val="00B71726"/>
    <w:rsid w:val="00B72E7D"/>
    <w:rsid w:val="00B736A9"/>
    <w:rsid w:val="00B73BCD"/>
    <w:rsid w:val="00B7411D"/>
    <w:rsid w:val="00B74168"/>
    <w:rsid w:val="00B74752"/>
    <w:rsid w:val="00B75470"/>
    <w:rsid w:val="00B75803"/>
    <w:rsid w:val="00B759E0"/>
    <w:rsid w:val="00B75EBB"/>
    <w:rsid w:val="00B76341"/>
    <w:rsid w:val="00B76867"/>
    <w:rsid w:val="00B768DC"/>
    <w:rsid w:val="00B76FC0"/>
    <w:rsid w:val="00B76FEC"/>
    <w:rsid w:val="00B77AAA"/>
    <w:rsid w:val="00B77FCF"/>
    <w:rsid w:val="00B8133A"/>
    <w:rsid w:val="00B81E36"/>
    <w:rsid w:val="00B84932"/>
    <w:rsid w:val="00B861E1"/>
    <w:rsid w:val="00B86935"/>
    <w:rsid w:val="00B86FFB"/>
    <w:rsid w:val="00B8735A"/>
    <w:rsid w:val="00B90B9D"/>
    <w:rsid w:val="00B9105C"/>
    <w:rsid w:val="00B9173E"/>
    <w:rsid w:val="00B9197B"/>
    <w:rsid w:val="00B94101"/>
    <w:rsid w:val="00B941B1"/>
    <w:rsid w:val="00B944CE"/>
    <w:rsid w:val="00B945FA"/>
    <w:rsid w:val="00B94920"/>
    <w:rsid w:val="00B94E87"/>
    <w:rsid w:val="00B96AD0"/>
    <w:rsid w:val="00B96DEC"/>
    <w:rsid w:val="00B97957"/>
    <w:rsid w:val="00B97D1E"/>
    <w:rsid w:val="00B97D8B"/>
    <w:rsid w:val="00BA0324"/>
    <w:rsid w:val="00BA0D93"/>
    <w:rsid w:val="00BA14C9"/>
    <w:rsid w:val="00BA16E2"/>
    <w:rsid w:val="00BA19A2"/>
    <w:rsid w:val="00BA2195"/>
    <w:rsid w:val="00BA38B0"/>
    <w:rsid w:val="00BA4CB9"/>
    <w:rsid w:val="00BA4FE7"/>
    <w:rsid w:val="00BA5227"/>
    <w:rsid w:val="00BA5A08"/>
    <w:rsid w:val="00BA5B19"/>
    <w:rsid w:val="00BA5EBE"/>
    <w:rsid w:val="00BA6C0D"/>
    <w:rsid w:val="00BA6CE3"/>
    <w:rsid w:val="00BA703A"/>
    <w:rsid w:val="00BA729D"/>
    <w:rsid w:val="00BA79E3"/>
    <w:rsid w:val="00BB0466"/>
    <w:rsid w:val="00BB0503"/>
    <w:rsid w:val="00BB0D27"/>
    <w:rsid w:val="00BB0E6F"/>
    <w:rsid w:val="00BB0F40"/>
    <w:rsid w:val="00BB1C27"/>
    <w:rsid w:val="00BB2FAC"/>
    <w:rsid w:val="00BB35AC"/>
    <w:rsid w:val="00BB368B"/>
    <w:rsid w:val="00BB39A3"/>
    <w:rsid w:val="00BB4043"/>
    <w:rsid w:val="00BB4118"/>
    <w:rsid w:val="00BB483B"/>
    <w:rsid w:val="00BB48A0"/>
    <w:rsid w:val="00BB6717"/>
    <w:rsid w:val="00BB704C"/>
    <w:rsid w:val="00BB70D2"/>
    <w:rsid w:val="00BB7174"/>
    <w:rsid w:val="00BB7223"/>
    <w:rsid w:val="00BB7603"/>
    <w:rsid w:val="00BB76CF"/>
    <w:rsid w:val="00BB7AB7"/>
    <w:rsid w:val="00BC036E"/>
    <w:rsid w:val="00BC06D3"/>
    <w:rsid w:val="00BC0A63"/>
    <w:rsid w:val="00BC0B86"/>
    <w:rsid w:val="00BC0F01"/>
    <w:rsid w:val="00BC14C6"/>
    <w:rsid w:val="00BC1E94"/>
    <w:rsid w:val="00BC2344"/>
    <w:rsid w:val="00BC252C"/>
    <w:rsid w:val="00BC3C56"/>
    <w:rsid w:val="00BC3F95"/>
    <w:rsid w:val="00BC4EDD"/>
    <w:rsid w:val="00BC53AC"/>
    <w:rsid w:val="00BC56B9"/>
    <w:rsid w:val="00BC57A8"/>
    <w:rsid w:val="00BC57DC"/>
    <w:rsid w:val="00BC7145"/>
    <w:rsid w:val="00BC7155"/>
    <w:rsid w:val="00BC7183"/>
    <w:rsid w:val="00BD0A45"/>
    <w:rsid w:val="00BD0DDA"/>
    <w:rsid w:val="00BD13B0"/>
    <w:rsid w:val="00BD25C6"/>
    <w:rsid w:val="00BD398E"/>
    <w:rsid w:val="00BD3AE7"/>
    <w:rsid w:val="00BD3EE9"/>
    <w:rsid w:val="00BD4DB3"/>
    <w:rsid w:val="00BD5142"/>
    <w:rsid w:val="00BD5BBF"/>
    <w:rsid w:val="00BD613F"/>
    <w:rsid w:val="00BD6A64"/>
    <w:rsid w:val="00BD703F"/>
    <w:rsid w:val="00BD786F"/>
    <w:rsid w:val="00BE0642"/>
    <w:rsid w:val="00BE0892"/>
    <w:rsid w:val="00BE0BBD"/>
    <w:rsid w:val="00BE1DCF"/>
    <w:rsid w:val="00BE37A5"/>
    <w:rsid w:val="00BE405F"/>
    <w:rsid w:val="00BE4AEB"/>
    <w:rsid w:val="00BE5135"/>
    <w:rsid w:val="00BE540C"/>
    <w:rsid w:val="00BE5EB7"/>
    <w:rsid w:val="00BE64F2"/>
    <w:rsid w:val="00BE6B36"/>
    <w:rsid w:val="00BE7567"/>
    <w:rsid w:val="00BE76F4"/>
    <w:rsid w:val="00BF0763"/>
    <w:rsid w:val="00BF0989"/>
    <w:rsid w:val="00BF1585"/>
    <w:rsid w:val="00BF1A7D"/>
    <w:rsid w:val="00BF3671"/>
    <w:rsid w:val="00BF39DD"/>
    <w:rsid w:val="00BF3AC7"/>
    <w:rsid w:val="00BF40F4"/>
    <w:rsid w:val="00BF48C4"/>
    <w:rsid w:val="00BF4A48"/>
    <w:rsid w:val="00BF53A8"/>
    <w:rsid w:val="00BF5406"/>
    <w:rsid w:val="00BF55C5"/>
    <w:rsid w:val="00BF5645"/>
    <w:rsid w:val="00BF64DD"/>
    <w:rsid w:val="00BF7E71"/>
    <w:rsid w:val="00C00878"/>
    <w:rsid w:val="00C00DD5"/>
    <w:rsid w:val="00C028C5"/>
    <w:rsid w:val="00C032C8"/>
    <w:rsid w:val="00C03C4B"/>
    <w:rsid w:val="00C04F7B"/>
    <w:rsid w:val="00C062BA"/>
    <w:rsid w:val="00C06CC1"/>
    <w:rsid w:val="00C0705E"/>
    <w:rsid w:val="00C07838"/>
    <w:rsid w:val="00C07E3C"/>
    <w:rsid w:val="00C106B8"/>
    <w:rsid w:val="00C117D5"/>
    <w:rsid w:val="00C11EA1"/>
    <w:rsid w:val="00C128FD"/>
    <w:rsid w:val="00C12BAB"/>
    <w:rsid w:val="00C139AA"/>
    <w:rsid w:val="00C13E6C"/>
    <w:rsid w:val="00C1491B"/>
    <w:rsid w:val="00C150D6"/>
    <w:rsid w:val="00C15DC0"/>
    <w:rsid w:val="00C16FF7"/>
    <w:rsid w:val="00C17883"/>
    <w:rsid w:val="00C206C7"/>
    <w:rsid w:val="00C20780"/>
    <w:rsid w:val="00C2079C"/>
    <w:rsid w:val="00C20AE1"/>
    <w:rsid w:val="00C20D19"/>
    <w:rsid w:val="00C20D48"/>
    <w:rsid w:val="00C211DC"/>
    <w:rsid w:val="00C22A6A"/>
    <w:rsid w:val="00C22AFA"/>
    <w:rsid w:val="00C22FC6"/>
    <w:rsid w:val="00C23290"/>
    <w:rsid w:val="00C239A1"/>
    <w:rsid w:val="00C23D6B"/>
    <w:rsid w:val="00C241D0"/>
    <w:rsid w:val="00C24708"/>
    <w:rsid w:val="00C24B30"/>
    <w:rsid w:val="00C2539B"/>
    <w:rsid w:val="00C25B4C"/>
    <w:rsid w:val="00C26078"/>
    <w:rsid w:val="00C2638C"/>
    <w:rsid w:val="00C269AD"/>
    <w:rsid w:val="00C2725A"/>
    <w:rsid w:val="00C27AA1"/>
    <w:rsid w:val="00C3049B"/>
    <w:rsid w:val="00C3127A"/>
    <w:rsid w:val="00C3226A"/>
    <w:rsid w:val="00C33897"/>
    <w:rsid w:val="00C33919"/>
    <w:rsid w:val="00C34B93"/>
    <w:rsid w:val="00C34EA6"/>
    <w:rsid w:val="00C34EBE"/>
    <w:rsid w:val="00C3555A"/>
    <w:rsid w:val="00C35614"/>
    <w:rsid w:val="00C35F40"/>
    <w:rsid w:val="00C368CB"/>
    <w:rsid w:val="00C40151"/>
    <w:rsid w:val="00C4056C"/>
    <w:rsid w:val="00C40798"/>
    <w:rsid w:val="00C40BBC"/>
    <w:rsid w:val="00C41AC6"/>
    <w:rsid w:val="00C41D29"/>
    <w:rsid w:val="00C42029"/>
    <w:rsid w:val="00C42AB3"/>
    <w:rsid w:val="00C4352A"/>
    <w:rsid w:val="00C438D3"/>
    <w:rsid w:val="00C441FB"/>
    <w:rsid w:val="00C44B63"/>
    <w:rsid w:val="00C4520D"/>
    <w:rsid w:val="00C46FEF"/>
    <w:rsid w:val="00C4741C"/>
    <w:rsid w:val="00C5024B"/>
    <w:rsid w:val="00C50348"/>
    <w:rsid w:val="00C50B7C"/>
    <w:rsid w:val="00C51523"/>
    <w:rsid w:val="00C5217B"/>
    <w:rsid w:val="00C52281"/>
    <w:rsid w:val="00C52BCE"/>
    <w:rsid w:val="00C53555"/>
    <w:rsid w:val="00C5363A"/>
    <w:rsid w:val="00C54255"/>
    <w:rsid w:val="00C54B3A"/>
    <w:rsid w:val="00C56198"/>
    <w:rsid w:val="00C56583"/>
    <w:rsid w:val="00C56BF5"/>
    <w:rsid w:val="00C57287"/>
    <w:rsid w:val="00C574CE"/>
    <w:rsid w:val="00C606B3"/>
    <w:rsid w:val="00C60A1F"/>
    <w:rsid w:val="00C6157A"/>
    <w:rsid w:val="00C61C5C"/>
    <w:rsid w:val="00C62FCF"/>
    <w:rsid w:val="00C63113"/>
    <w:rsid w:val="00C639A0"/>
    <w:rsid w:val="00C63A31"/>
    <w:rsid w:val="00C6536C"/>
    <w:rsid w:val="00C6576E"/>
    <w:rsid w:val="00C65774"/>
    <w:rsid w:val="00C66465"/>
    <w:rsid w:val="00C66BA9"/>
    <w:rsid w:val="00C67588"/>
    <w:rsid w:val="00C67A8F"/>
    <w:rsid w:val="00C67FB0"/>
    <w:rsid w:val="00C7043F"/>
    <w:rsid w:val="00C70846"/>
    <w:rsid w:val="00C7144F"/>
    <w:rsid w:val="00C71D67"/>
    <w:rsid w:val="00C727ED"/>
    <w:rsid w:val="00C73ED5"/>
    <w:rsid w:val="00C74634"/>
    <w:rsid w:val="00C7468E"/>
    <w:rsid w:val="00C74CAF"/>
    <w:rsid w:val="00C757E0"/>
    <w:rsid w:val="00C7585D"/>
    <w:rsid w:val="00C75874"/>
    <w:rsid w:val="00C75A59"/>
    <w:rsid w:val="00C75C25"/>
    <w:rsid w:val="00C77F5E"/>
    <w:rsid w:val="00C81380"/>
    <w:rsid w:val="00C81D98"/>
    <w:rsid w:val="00C823E2"/>
    <w:rsid w:val="00C82533"/>
    <w:rsid w:val="00C8296A"/>
    <w:rsid w:val="00C830BA"/>
    <w:rsid w:val="00C83593"/>
    <w:rsid w:val="00C835E9"/>
    <w:rsid w:val="00C83960"/>
    <w:rsid w:val="00C83E00"/>
    <w:rsid w:val="00C84225"/>
    <w:rsid w:val="00C85939"/>
    <w:rsid w:val="00C86487"/>
    <w:rsid w:val="00C865C6"/>
    <w:rsid w:val="00C86BF8"/>
    <w:rsid w:val="00C903B4"/>
    <w:rsid w:val="00C90E9E"/>
    <w:rsid w:val="00C92B7A"/>
    <w:rsid w:val="00C92D6C"/>
    <w:rsid w:val="00C93862"/>
    <w:rsid w:val="00C93D42"/>
    <w:rsid w:val="00C944A4"/>
    <w:rsid w:val="00C946CD"/>
    <w:rsid w:val="00C94C74"/>
    <w:rsid w:val="00C9583F"/>
    <w:rsid w:val="00C96E49"/>
    <w:rsid w:val="00C96FE4"/>
    <w:rsid w:val="00CA00D2"/>
    <w:rsid w:val="00CA025B"/>
    <w:rsid w:val="00CA11EF"/>
    <w:rsid w:val="00CA1665"/>
    <w:rsid w:val="00CA1F6B"/>
    <w:rsid w:val="00CA30A9"/>
    <w:rsid w:val="00CA3A70"/>
    <w:rsid w:val="00CA3A76"/>
    <w:rsid w:val="00CA3E34"/>
    <w:rsid w:val="00CA530F"/>
    <w:rsid w:val="00CA5D0D"/>
    <w:rsid w:val="00CA6911"/>
    <w:rsid w:val="00CA7E9F"/>
    <w:rsid w:val="00CB0060"/>
    <w:rsid w:val="00CB0551"/>
    <w:rsid w:val="00CB0C17"/>
    <w:rsid w:val="00CB0C4F"/>
    <w:rsid w:val="00CB1266"/>
    <w:rsid w:val="00CB133D"/>
    <w:rsid w:val="00CB180A"/>
    <w:rsid w:val="00CB1F91"/>
    <w:rsid w:val="00CB306B"/>
    <w:rsid w:val="00CB409A"/>
    <w:rsid w:val="00CB4F4F"/>
    <w:rsid w:val="00CB513A"/>
    <w:rsid w:val="00CB5343"/>
    <w:rsid w:val="00CB5F43"/>
    <w:rsid w:val="00CB63F5"/>
    <w:rsid w:val="00CB7085"/>
    <w:rsid w:val="00CB72E9"/>
    <w:rsid w:val="00CC03E9"/>
    <w:rsid w:val="00CC0A44"/>
    <w:rsid w:val="00CC0B76"/>
    <w:rsid w:val="00CC0D25"/>
    <w:rsid w:val="00CC17D0"/>
    <w:rsid w:val="00CC1A20"/>
    <w:rsid w:val="00CC1BA9"/>
    <w:rsid w:val="00CC232C"/>
    <w:rsid w:val="00CC27F7"/>
    <w:rsid w:val="00CC2BDA"/>
    <w:rsid w:val="00CC2C44"/>
    <w:rsid w:val="00CC2EE7"/>
    <w:rsid w:val="00CC3AB2"/>
    <w:rsid w:val="00CC3EF0"/>
    <w:rsid w:val="00CC43CE"/>
    <w:rsid w:val="00CC480F"/>
    <w:rsid w:val="00CC48BC"/>
    <w:rsid w:val="00CC4A86"/>
    <w:rsid w:val="00CC4D77"/>
    <w:rsid w:val="00CC5BD6"/>
    <w:rsid w:val="00CC6B3A"/>
    <w:rsid w:val="00CC6BDE"/>
    <w:rsid w:val="00CC710A"/>
    <w:rsid w:val="00CC7766"/>
    <w:rsid w:val="00CC7A5F"/>
    <w:rsid w:val="00CC7AFC"/>
    <w:rsid w:val="00CD05B0"/>
    <w:rsid w:val="00CD06AB"/>
    <w:rsid w:val="00CD1747"/>
    <w:rsid w:val="00CD1AA4"/>
    <w:rsid w:val="00CD2166"/>
    <w:rsid w:val="00CD2939"/>
    <w:rsid w:val="00CD30BE"/>
    <w:rsid w:val="00CD31DB"/>
    <w:rsid w:val="00CD332A"/>
    <w:rsid w:val="00CD39AE"/>
    <w:rsid w:val="00CD4AA7"/>
    <w:rsid w:val="00CD5A28"/>
    <w:rsid w:val="00CD5A42"/>
    <w:rsid w:val="00CD6BAC"/>
    <w:rsid w:val="00CD77E7"/>
    <w:rsid w:val="00CD7B15"/>
    <w:rsid w:val="00CE085B"/>
    <w:rsid w:val="00CE096B"/>
    <w:rsid w:val="00CE1F6D"/>
    <w:rsid w:val="00CE2807"/>
    <w:rsid w:val="00CE3141"/>
    <w:rsid w:val="00CE441B"/>
    <w:rsid w:val="00CE533C"/>
    <w:rsid w:val="00CE6794"/>
    <w:rsid w:val="00CE714F"/>
    <w:rsid w:val="00CE75F0"/>
    <w:rsid w:val="00CF00D1"/>
    <w:rsid w:val="00CF07D8"/>
    <w:rsid w:val="00CF08A3"/>
    <w:rsid w:val="00CF1AC5"/>
    <w:rsid w:val="00CF20D1"/>
    <w:rsid w:val="00CF21A3"/>
    <w:rsid w:val="00CF3262"/>
    <w:rsid w:val="00CF35D1"/>
    <w:rsid w:val="00CF419B"/>
    <w:rsid w:val="00CF4B50"/>
    <w:rsid w:val="00CF4EF1"/>
    <w:rsid w:val="00CF6827"/>
    <w:rsid w:val="00CF6E7A"/>
    <w:rsid w:val="00CF6EF0"/>
    <w:rsid w:val="00CF75E1"/>
    <w:rsid w:val="00CF77D9"/>
    <w:rsid w:val="00D0027D"/>
    <w:rsid w:val="00D01733"/>
    <w:rsid w:val="00D018B6"/>
    <w:rsid w:val="00D02062"/>
    <w:rsid w:val="00D02221"/>
    <w:rsid w:val="00D02526"/>
    <w:rsid w:val="00D0296A"/>
    <w:rsid w:val="00D02E0B"/>
    <w:rsid w:val="00D02E95"/>
    <w:rsid w:val="00D0398D"/>
    <w:rsid w:val="00D043A7"/>
    <w:rsid w:val="00D051EB"/>
    <w:rsid w:val="00D052D7"/>
    <w:rsid w:val="00D0567D"/>
    <w:rsid w:val="00D0578C"/>
    <w:rsid w:val="00D068B9"/>
    <w:rsid w:val="00D10368"/>
    <w:rsid w:val="00D122B3"/>
    <w:rsid w:val="00D123B8"/>
    <w:rsid w:val="00D12C8A"/>
    <w:rsid w:val="00D13A74"/>
    <w:rsid w:val="00D13DC4"/>
    <w:rsid w:val="00D157B0"/>
    <w:rsid w:val="00D165A2"/>
    <w:rsid w:val="00D16F60"/>
    <w:rsid w:val="00D177BF"/>
    <w:rsid w:val="00D17BDA"/>
    <w:rsid w:val="00D17CA2"/>
    <w:rsid w:val="00D20604"/>
    <w:rsid w:val="00D21EC4"/>
    <w:rsid w:val="00D22972"/>
    <w:rsid w:val="00D22FED"/>
    <w:rsid w:val="00D23778"/>
    <w:rsid w:val="00D24239"/>
    <w:rsid w:val="00D25441"/>
    <w:rsid w:val="00D25D55"/>
    <w:rsid w:val="00D2667A"/>
    <w:rsid w:val="00D269D9"/>
    <w:rsid w:val="00D279E5"/>
    <w:rsid w:val="00D30992"/>
    <w:rsid w:val="00D31FF7"/>
    <w:rsid w:val="00D336A7"/>
    <w:rsid w:val="00D35A8A"/>
    <w:rsid w:val="00D35B56"/>
    <w:rsid w:val="00D35C04"/>
    <w:rsid w:val="00D36062"/>
    <w:rsid w:val="00D36298"/>
    <w:rsid w:val="00D36334"/>
    <w:rsid w:val="00D3733E"/>
    <w:rsid w:val="00D3796C"/>
    <w:rsid w:val="00D41165"/>
    <w:rsid w:val="00D4220F"/>
    <w:rsid w:val="00D426A0"/>
    <w:rsid w:val="00D428BE"/>
    <w:rsid w:val="00D42AAE"/>
    <w:rsid w:val="00D42FB0"/>
    <w:rsid w:val="00D434AA"/>
    <w:rsid w:val="00D43892"/>
    <w:rsid w:val="00D43C94"/>
    <w:rsid w:val="00D43CCA"/>
    <w:rsid w:val="00D43FEF"/>
    <w:rsid w:val="00D4433A"/>
    <w:rsid w:val="00D44688"/>
    <w:rsid w:val="00D447AE"/>
    <w:rsid w:val="00D45B16"/>
    <w:rsid w:val="00D466AB"/>
    <w:rsid w:val="00D470BB"/>
    <w:rsid w:val="00D472ED"/>
    <w:rsid w:val="00D47694"/>
    <w:rsid w:val="00D47E93"/>
    <w:rsid w:val="00D5099B"/>
    <w:rsid w:val="00D50AE2"/>
    <w:rsid w:val="00D51E44"/>
    <w:rsid w:val="00D52178"/>
    <w:rsid w:val="00D527E9"/>
    <w:rsid w:val="00D52F7B"/>
    <w:rsid w:val="00D54192"/>
    <w:rsid w:val="00D54562"/>
    <w:rsid w:val="00D56F6B"/>
    <w:rsid w:val="00D57B57"/>
    <w:rsid w:val="00D6065E"/>
    <w:rsid w:val="00D60C60"/>
    <w:rsid w:val="00D60C8A"/>
    <w:rsid w:val="00D61D12"/>
    <w:rsid w:val="00D6208C"/>
    <w:rsid w:val="00D63534"/>
    <w:rsid w:val="00D638F5"/>
    <w:rsid w:val="00D64632"/>
    <w:rsid w:val="00D646F9"/>
    <w:rsid w:val="00D65590"/>
    <w:rsid w:val="00D65ECD"/>
    <w:rsid w:val="00D66A47"/>
    <w:rsid w:val="00D66BA4"/>
    <w:rsid w:val="00D66BBC"/>
    <w:rsid w:val="00D67139"/>
    <w:rsid w:val="00D6781B"/>
    <w:rsid w:val="00D67B5F"/>
    <w:rsid w:val="00D71296"/>
    <w:rsid w:val="00D714CC"/>
    <w:rsid w:val="00D71D3A"/>
    <w:rsid w:val="00D72A67"/>
    <w:rsid w:val="00D734A8"/>
    <w:rsid w:val="00D73D9B"/>
    <w:rsid w:val="00D744E7"/>
    <w:rsid w:val="00D74D05"/>
    <w:rsid w:val="00D74E78"/>
    <w:rsid w:val="00D74F8C"/>
    <w:rsid w:val="00D75B39"/>
    <w:rsid w:val="00D75C7C"/>
    <w:rsid w:val="00D76E65"/>
    <w:rsid w:val="00D76E68"/>
    <w:rsid w:val="00D772FC"/>
    <w:rsid w:val="00D7760C"/>
    <w:rsid w:val="00D77640"/>
    <w:rsid w:val="00D7793A"/>
    <w:rsid w:val="00D80406"/>
    <w:rsid w:val="00D809D3"/>
    <w:rsid w:val="00D80F94"/>
    <w:rsid w:val="00D81631"/>
    <w:rsid w:val="00D81E0D"/>
    <w:rsid w:val="00D83819"/>
    <w:rsid w:val="00D83EE2"/>
    <w:rsid w:val="00D84AAF"/>
    <w:rsid w:val="00D84C42"/>
    <w:rsid w:val="00D84D71"/>
    <w:rsid w:val="00D857C8"/>
    <w:rsid w:val="00D859F9"/>
    <w:rsid w:val="00D86C2A"/>
    <w:rsid w:val="00D86C3D"/>
    <w:rsid w:val="00D86F9E"/>
    <w:rsid w:val="00D9025D"/>
    <w:rsid w:val="00D90995"/>
    <w:rsid w:val="00D909F0"/>
    <w:rsid w:val="00D915EF"/>
    <w:rsid w:val="00D91A19"/>
    <w:rsid w:val="00D923EF"/>
    <w:rsid w:val="00D92A5D"/>
    <w:rsid w:val="00D92E50"/>
    <w:rsid w:val="00D952C8"/>
    <w:rsid w:val="00D952EE"/>
    <w:rsid w:val="00D954F4"/>
    <w:rsid w:val="00D95BAD"/>
    <w:rsid w:val="00D95C3D"/>
    <w:rsid w:val="00D95EAA"/>
    <w:rsid w:val="00D96520"/>
    <w:rsid w:val="00D96945"/>
    <w:rsid w:val="00D97040"/>
    <w:rsid w:val="00DA139E"/>
    <w:rsid w:val="00DA13E7"/>
    <w:rsid w:val="00DA19AE"/>
    <w:rsid w:val="00DA1C76"/>
    <w:rsid w:val="00DA373C"/>
    <w:rsid w:val="00DA5E2B"/>
    <w:rsid w:val="00DB0165"/>
    <w:rsid w:val="00DB01A6"/>
    <w:rsid w:val="00DB0B87"/>
    <w:rsid w:val="00DB1CA3"/>
    <w:rsid w:val="00DB23CD"/>
    <w:rsid w:val="00DB32E7"/>
    <w:rsid w:val="00DB3FA3"/>
    <w:rsid w:val="00DB4248"/>
    <w:rsid w:val="00DB47A2"/>
    <w:rsid w:val="00DB4E06"/>
    <w:rsid w:val="00DB6AED"/>
    <w:rsid w:val="00DB79C6"/>
    <w:rsid w:val="00DB7A87"/>
    <w:rsid w:val="00DC08BA"/>
    <w:rsid w:val="00DC0DCB"/>
    <w:rsid w:val="00DC1581"/>
    <w:rsid w:val="00DC34C5"/>
    <w:rsid w:val="00DC4EBA"/>
    <w:rsid w:val="00DC528C"/>
    <w:rsid w:val="00DC6DB1"/>
    <w:rsid w:val="00DC71F9"/>
    <w:rsid w:val="00DC72DB"/>
    <w:rsid w:val="00DC7ECB"/>
    <w:rsid w:val="00DC7F8E"/>
    <w:rsid w:val="00DD038F"/>
    <w:rsid w:val="00DD0767"/>
    <w:rsid w:val="00DD19F3"/>
    <w:rsid w:val="00DD2017"/>
    <w:rsid w:val="00DD2815"/>
    <w:rsid w:val="00DD2D18"/>
    <w:rsid w:val="00DD2D90"/>
    <w:rsid w:val="00DD2F55"/>
    <w:rsid w:val="00DD3A73"/>
    <w:rsid w:val="00DD42C1"/>
    <w:rsid w:val="00DD4827"/>
    <w:rsid w:val="00DD55FF"/>
    <w:rsid w:val="00DD56D3"/>
    <w:rsid w:val="00DD5B6F"/>
    <w:rsid w:val="00DD5B8F"/>
    <w:rsid w:val="00DD5C9F"/>
    <w:rsid w:val="00DD5E4D"/>
    <w:rsid w:val="00DD5F4B"/>
    <w:rsid w:val="00DD6AE0"/>
    <w:rsid w:val="00DD6B3B"/>
    <w:rsid w:val="00DD6CA2"/>
    <w:rsid w:val="00DD7214"/>
    <w:rsid w:val="00DE05F5"/>
    <w:rsid w:val="00DE0A4F"/>
    <w:rsid w:val="00DE0BEF"/>
    <w:rsid w:val="00DE1058"/>
    <w:rsid w:val="00DE10D5"/>
    <w:rsid w:val="00DE116D"/>
    <w:rsid w:val="00DE128F"/>
    <w:rsid w:val="00DE18F6"/>
    <w:rsid w:val="00DE1B36"/>
    <w:rsid w:val="00DE2014"/>
    <w:rsid w:val="00DE22D5"/>
    <w:rsid w:val="00DE33C7"/>
    <w:rsid w:val="00DE374A"/>
    <w:rsid w:val="00DE39DE"/>
    <w:rsid w:val="00DE3C24"/>
    <w:rsid w:val="00DE3D41"/>
    <w:rsid w:val="00DE4870"/>
    <w:rsid w:val="00DE4C5E"/>
    <w:rsid w:val="00DE52FD"/>
    <w:rsid w:val="00DE5ABB"/>
    <w:rsid w:val="00DE6C2D"/>
    <w:rsid w:val="00DE6F8C"/>
    <w:rsid w:val="00DE6FB9"/>
    <w:rsid w:val="00DE7105"/>
    <w:rsid w:val="00DE7AF1"/>
    <w:rsid w:val="00DE7FB7"/>
    <w:rsid w:val="00DF05D1"/>
    <w:rsid w:val="00DF093D"/>
    <w:rsid w:val="00DF09CE"/>
    <w:rsid w:val="00DF0C55"/>
    <w:rsid w:val="00DF0D38"/>
    <w:rsid w:val="00DF0FE2"/>
    <w:rsid w:val="00DF10CD"/>
    <w:rsid w:val="00DF1649"/>
    <w:rsid w:val="00DF1A0E"/>
    <w:rsid w:val="00DF1B7A"/>
    <w:rsid w:val="00DF1C96"/>
    <w:rsid w:val="00DF1D7B"/>
    <w:rsid w:val="00DF2A58"/>
    <w:rsid w:val="00DF37DE"/>
    <w:rsid w:val="00DF3A42"/>
    <w:rsid w:val="00DF4A0B"/>
    <w:rsid w:val="00DF57F1"/>
    <w:rsid w:val="00DF67D7"/>
    <w:rsid w:val="00DF693E"/>
    <w:rsid w:val="00DF6DF7"/>
    <w:rsid w:val="00DF77FD"/>
    <w:rsid w:val="00DF7E16"/>
    <w:rsid w:val="00E0089A"/>
    <w:rsid w:val="00E0167D"/>
    <w:rsid w:val="00E0188E"/>
    <w:rsid w:val="00E01B6E"/>
    <w:rsid w:val="00E01E79"/>
    <w:rsid w:val="00E01FD1"/>
    <w:rsid w:val="00E02085"/>
    <w:rsid w:val="00E0238E"/>
    <w:rsid w:val="00E02ADD"/>
    <w:rsid w:val="00E0377F"/>
    <w:rsid w:val="00E039B5"/>
    <w:rsid w:val="00E04755"/>
    <w:rsid w:val="00E06EB8"/>
    <w:rsid w:val="00E079DC"/>
    <w:rsid w:val="00E10324"/>
    <w:rsid w:val="00E10444"/>
    <w:rsid w:val="00E108E7"/>
    <w:rsid w:val="00E10D1D"/>
    <w:rsid w:val="00E117E8"/>
    <w:rsid w:val="00E11A90"/>
    <w:rsid w:val="00E11DDC"/>
    <w:rsid w:val="00E12297"/>
    <w:rsid w:val="00E126A5"/>
    <w:rsid w:val="00E142AB"/>
    <w:rsid w:val="00E144C1"/>
    <w:rsid w:val="00E147BE"/>
    <w:rsid w:val="00E1543E"/>
    <w:rsid w:val="00E15AA0"/>
    <w:rsid w:val="00E15D44"/>
    <w:rsid w:val="00E16044"/>
    <w:rsid w:val="00E168E6"/>
    <w:rsid w:val="00E16EF1"/>
    <w:rsid w:val="00E170B2"/>
    <w:rsid w:val="00E176A3"/>
    <w:rsid w:val="00E1773E"/>
    <w:rsid w:val="00E178F6"/>
    <w:rsid w:val="00E17D88"/>
    <w:rsid w:val="00E2018D"/>
    <w:rsid w:val="00E20477"/>
    <w:rsid w:val="00E20CCE"/>
    <w:rsid w:val="00E21539"/>
    <w:rsid w:val="00E21AEC"/>
    <w:rsid w:val="00E225D2"/>
    <w:rsid w:val="00E22A61"/>
    <w:rsid w:val="00E23063"/>
    <w:rsid w:val="00E24102"/>
    <w:rsid w:val="00E2431A"/>
    <w:rsid w:val="00E26312"/>
    <w:rsid w:val="00E26C2D"/>
    <w:rsid w:val="00E276ED"/>
    <w:rsid w:val="00E30330"/>
    <w:rsid w:val="00E303D8"/>
    <w:rsid w:val="00E30B30"/>
    <w:rsid w:val="00E31990"/>
    <w:rsid w:val="00E31B1A"/>
    <w:rsid w:val="00E31BD1"/>
    <w:rsid w:val="00E32A2D"/>
    <w:rsid w:val="00E33037"/>
    <w:rsid w:val="00E332A1"/>
    <w:rsid w:val="00E335DE"/>
    <w:rsid w:val="00E33F06"/>
    <w:rsid w:val="00E34892"/>
    <w:rsid w:val="00E34EE2"/>
    <w:rsid w:val="00E359E2"/>
    <w:rsid w:val="00E35BC3"/>
    <w:rsid w:val="00E35DE4"/>
    <w:rsid w:val="00E367FD"/>
    <w:rsid w:val="00E3681D"/>
    <w:rsid w:val="00E36943"/>
    <w:rsid w:val="00E377E3"/>
    <w:rsid w:val="00E37809"/>
    <w:rsid w:val="00E37C05"/>
    <w:rsid w:val="00E407D2"/>
    <w:rsid w:val="00E40BDA"/>
    <w:rsid w:val="00E40F3C"/>
    <w:rsid w:val="00E41053"/>
    <w:rsid w:val="00E424D9"/>
    <w:rsid w:val="00E42D46"/>
    <w:rsid w:val="00E42EF2"/>
    <w:rsid w:val="00E42F74"/>
    <w:rsid w:val="00E4338A"/>
    <w:rsid w:val="00E43CF5"/>
    <w:rsid w:val="00E43CFC"/>
    <w:rsid w:val="00E43D5E"/>
    <w:rsid w:val="00E448BF"/>
    <w:rsid w:val="00E44F04"/>
    <w:rsid w:val="00E44FCC"/>
    <w:rsid w:val="00E45D2C"/>
    <w:rsid w:val="00E46D56"/>
    <w:rsid w:val="00E47057"/>
    <w:rsid w:val="00E4729C"/>
    <w:rsid w:val="00E4746F"/>
    <w:rsid w:val="00E47585"/>
    <w:rsid w:val="00E47627"/>
    <w:rsid w:val="00E47978"/>
    <w:rsid w:val="00E47AA2"/>
    <w:rsid w:val="00E50750"/>
    <w:rsid w:val="00E5086D"/>
    <w:rsid w:val="00E51079"/>
    <w:rsid w:val="00E5194B"/>
    <w:rsid w:val="00E51B29"/>
    <w:rsid w:val="00E5279C"/>
    <w:rsid w:val="00E53563"/>
    <w:rsid w:val="00E537BB"/>
    <w:rsid w:val="00E538B0"/>
    <w:rsid w:val="00E53F0D"/>
    <w:rsid w:val="00E54209"/>
    <w:rsid w:val="00E5428F"/>
    <w:rsid w:val="00E54556"/>
    <w:rsid w:val="00E54ED5"/>
    <w:rsid w:val="00E55568"/>
    <w:rsid w:val="00E55B90"/>
    <w:rsid w:val="00E55DE1"/>
    <w:rsid w:val="00E562E1"/>
    <w:rsid w:val="00E563F6"/>
    <w:rsid w:val="00E566B0"/>
    <w:rsid w:val="00E567A8"/>
    <w:rsid w:val="00E5691F"/>
    <w:rsid w:val="00E56C3E"/>
    <w:rsid w:val="00E56E13"/>
    <w:rsid w:val="00E5724E"/>
    <w:rsid w:val="00E5738F"/>
    <w:rsid w:val="00E573F8"/>
    <w:rsid w:val="00E57EB7"/>
    <w:rsid w:val="00E60168"/>
    <w:rsid w:val="00E6041A"/>
    <w:rsid w:val="00E604C7"/>
    <w:rsid w:val="00E60C09"/>
    <w:rsid w:val="00E62D1F"/>
    <w:rsid w:val="00E63293"/>
    <w:rsid w:val="00E64946"/>
    <w:rsid w:val="00E65354"/>
    <w:rsid w:val="00E656E8"/>
    <w:rsid w:val="00E70CDF"/>
    <w:rsid w:val="00E7238B"/>
    <w:rsid w:val="00E73368"/>
    <w:rsid w:val="00E73A54"/>
    <w:rsid w:val="00E744B8"/>
    <w:rsid w:val="00E74897"/>
    <w:rsid w:val="00E753E5"/>
    <w:rsid w:val="00E76335"/>
    <w:rsid w:val="00E764C3"/>
    <w:rsid w:val="00E7695A"/>
    <w:rsid w:val="00E77304"/>
    <w:rsid w:val="00E773C7"/>
    <w:rsid w:val="00E77DAF"/>
    <w:rsid w:val="00E802E7"/>
    <w:rsid w:val="00E809C4"/>
    <w:rsid w:val="00E80A8E"/>
    <w:rsid w:val="00E80F2B"/>
    <w:rsid w:val="00E81370"/>
    <w:rsid w:val="00E81578"/>
    <w:rsid w:val="00E82762"/>
    <w:rsid w:val="00E82EE8"/>
    <w:rsid w:val="00E83009"/>
    <w:rsid w:val="00E83566"/>
    <w:rsid w:val="00E83F46"/>
    <w:rsid w:val="00E83FA2"/>
    <w:rsid w:val="00E852AC"/>
    <w:rsid w:val="00E86FFB"/>
    <w:rsid w:val="00E87A84"/>
    <w:rsid w:val="00E87CE7"/>
    <w:rsid w:val="00E90128"/>
    <w:rsid w:val="00E9044A"/>
    <w:rsid w:val="00E90F94"/>
    <w:rsid w:val="00E90FFB"/>
    <w:rsid w:val="00E91F11"/>
    <w:rsid w:val="00E92676"/>
    <w:rsid w:val="00E93CBE"/>
    <w:rsid w:val="00E93E61"/>
    <w:rsid w:val="00E94547"/>
    <w:rsid w:val="00E94CB5"/>
    <w:rsid w:val="00E96647"/>
    <w:rsid w:val="00E97370"/>
    <w:rsid w:val="00E977D4"/>
    <w:rsid w:val="00EA0B6E"/>
    <w:rsid w:val="00EA0B78"/>
    <w:rsid w:val="00EA1519"/>
    <w:rsid w:val="00EA170E"/>
    <w:rsid w:val="00EA1971"/>
    <w:rsid w:val="00EA20D5"/>
    <w:rsid w:val="00EA2890"/>
    <w:rsid w:val="00EA2A33"/>
    <w:rsid w:val="00EA35B7"/>
    <w:rsid w:val="00EA35C6"/>
    <w:rsid w:val="00EA3AA3"/>
    <w:rsid w:val="00EA3B58"/>
    <w:rsid w:val="00EA4EF3"/>
    <w:rsid w:val="00EA505C"/>
    <w:rsid w:val="00EA5456"/>
    <w:rsid w:val="00EA5DDC"/>
    <w:rsid w:val="00EA5FB8"/>
    <w:rsid w:val="00EA6953"/>
    <w:rsid w:val="00EA6A63"/>
    <w:rsid w:val="00EA6AC7"/>
    <w:rsid w:val="00EA6FA1"/>
    <w:rsid w:val="00EA71EA"/>
    <w:rsid w:val="00EB03DA"/>
    <w:rsid w:val="00EB058A"/>
    <w:rsid w:val="00EB0CC4"/>
    <w:rsid w:val="00EB2755"/>
    <w:rsid w:val="00EB312C"/>
    <w:rsid w:val="00EB3B73"/>
    <w:rsid w:val="00EB4966"/>
    <w:rsid w:val="00EB626A"/>
    <w:rsid w:val="00EB6424"/>
    <w:rsid w:val="00EB6766"/>
    <w:rsid w:val="00EB6F1C"/>
    <w:rsid w:val="00EB6F47"/>
    <w:rsid w:val="00EB6FDE"/>
    <w:rsid w:val="00EB76F7"/>
    <w:rsid w:val="00EB7897"/>
    <w:rsid w:val="00EB7DFF"/>
    <w:rsid w:val="00EC0728"/>
    <w:rsid w:val="00EC0918"/>
    <w:rsid w:val="00EC1384"/>
    <w:rsid w:val="00EC1415"/>
    <w:rsid w:val="00EC1D27"/>
    <w:rsid w:val="00EC2C74"/>
    <w:rsid w:val="00EC2CDF"/>
    <w:rsid w:val="00EC2DB2"/>
    <w:rsid w:val="00EC2EAD"/>
    <w:rsid w:val="00EC4438"/>
    <w:rsid w:val="00EC4608"/>
    <w:rsid w:val="00EC6C20"/>
    <w:rsid w:val="00EC74B5"/>
    <w:rsid w:val="00ED01C8"/>
    <w:rsid w:val="00ED0BF1"/>
    <w:rsid w:val="00ED13F2"/>
    <w:rsid w:val="00ED1CC8"/>
    <w:rsid w:val="00ED1D3C"/>
    <w:rsid w:val="00ED213C"/>
    <w:rsid w:val="00ED24E0"/>
    <w:rsid w:val="00ED2A30"/>
    <w:rsid w:val="00ED42BB"/>
    <w:rsid w:val="00ED43B1"/>
    <w:rsid w:val="00ED43B4"/>
    <w:rsid w:val="00ED483F"/>
    <w:rsid w:val="00ED50EE"/>
    <w:rsid w:val="00ED5106"/>
    <w:rsid w:val="00ED5770"/>
    <w:rsid w:val="00ED5AA0"/>
    <w:rsid w:val="00ED5BAB"/>
    <w:rsid w:val="00ED622C"/>
    <w:rsid w:val="00ED651C"/>
    <w:rsid w:val="00ED6CB5"/>
    <w:rsid w:val="00ED6D72"/>
    <w:rsid w:val="00ED6F6D"/>
    <w:rsid w:val="00ED701B"/>
    <w:rsid w:val="00ED7689"/>
    <w:rsid w:val="00ED7814"/>
    <w:rsid w:val="00ED7C87"/>
    <w:rsid w:val="00EE11B3"/>
    <w:rsid w:val="00EE11C1"/>
    <w:rsid w:val="00EE174C"/>
    <w:rsid w:val="00EE28CB"/>
    <w:rsid w:val="00EE2E0C"/>
    <w:rsid w:val="00EE358E"/>
    <w:rsid w:val="00EE45F6"/>
    <w:rsid w:val="00EE47AC"/>
    <w:rsid w:val="00EE5312"/>
    <w:rsid w:val="00EE5489"/>
    <w:rsid w:val="00EE57BE"/>
    <w:rsid w:val="00EE641E"/>
    <w:rsid w:val="00EE78CB"/>
    <w:rsid w:val="00EE7AF9"/>
    <w:rsid w:val="00EF0156"/>
    <w:rsid w:val="00EF0723"/>
    <w:rsid w:val="00EF0A75"/>
    <w:rsid w:val="00EF18A5"/>
    <w:rsid w:val="00EF2101"/>
    <w:rsid w:val="00EF217F"/>
    <w:rsid w:val="00EF3922"/>
    <w:rsid w:val="00EF48B3"/>
    <w:rsid w:val="00EF542F"/>
    <w:rsid w:val="00EF62BD"/>
    <w:rsid w:val="00EF63D9"/>
    <w:rsid w:val="00EF6819"/>
    <w:rsid w:val="00EF69CF"/>
    <w:rsid w:val="00EF7070"/>
    <w:rsid w:val="00EF7287"/>
    <w:rsid w:val="00EF766F"/>
    <w:rsid w:val="00EF7943"/>
    <w:rsid w:val="00EF7CD9"/>
    <w:rsid w:val="00F002DF"/>
    <w:rsid w:val="00F018C1"/>
    <w:rsid w:val="00F01B8F"/>
    <w:rsid w:val="00F01DD9"/>
    <w:rsid w:val="00F0294C"/>
    <w:rsid w:val="00F02B67"/>
    <w:rsid w:val="00F02F72"/>
    <w:rsid w:val="00F03079"/>
    <w:rsid w:val="00F049AB"/>
    <w:rsid w:val="00F054F4"/>
    <w:rsid w:val="00F05F3A"/>
    <w:rsid w:val="00F071E1"/>
    <w:rsid w:val="00F07C48"/>
    <w:rsid w:val="00F07F1D"/>
    <w:rsid w:val="00F101E0"/>
    <w:rsid w:val="00F11958"/>
    <w:rsid w:val="00F11FFD"/>
    <w:rsid w:val="00F12489"/>
    <w:rsid w:val="00F1296D"/>
    <w:rsid w:val="00F12EC7"/>
    <w:rsid w:val="00F1393D"/>
    <w:rsid w:val="00F15B78"/>
    <w:rsid w:val="00F16F49"/>
    <w:rsid w:val="00F171D4"/>
    <w:rsid w:val="00F1723F"/>
    <w:rsid w:val="00F20388"/>
    <w:rsid w:val="00F216AF"/>
    <w:rsid w:val="00F2313A"/>
    <w:rsid w:val="00F23930"/>
    <w:rsid w:val="00F2402C"/>
    <w:rsid w:val="00F2443C"/>
    <w:rsid w:val="00F2454D"/>
    <w:rsid w:val="00F24FE1"/>
    <w:rsid w:val="00F258F5"/>
    <w:rsid w:val="00F25A66"/>
    <w:rsid w:val="00F261EC"/>
    <w:rsid w:val="00F26518"/>
    <w:rsid w:val="00F2677D"/>
    <w:rsid w:val="00F26AF4"/>
    <w:rsid w:val="00F271D8"/>
    <w:rsid w:val="00F30578"/>
    <w:rsid w:val="00F30ADA"/>
    <w:rsid w:val="00F33596"/>
    <w:rsid w:val="00F33EFC"/>
    <w:rsid w:val="00F33F6B"/>
    <w:rsid w:val="00F34FC4"/>
    <w:rsid w:val="00F35343"/>
    <w:rsid w:val="00F353D7"/>
    <w:rsid w:val="00F35FD0"/>
    <w:rsid w:val="00F3610E"/>
    <w:rsid w:val="00F363B1"/>
    <w:rsid w:val="00F4018B"/>
    <w:rsid w:val="00F40B55"/>
    <w:rsid w:val="00F40E75"/>
    <w:rsid w:val="00F413D7"/>
    <w:rsid w:val="00F4182E"/>
    <w:rsid w:val="00F42B87"/>
    <w:rsid w:val="00F42DBB"/>
    <w:rsid w:val="00F43E79"/>
    <w:rsid w:val="00F44104"/>
    <w:rsid w:val="00F44383"/>
    <w:rsid w:val="00F446A7"/>
    <w:rsid w:val="00F4487E"/>
    <w:rsid w:val="00F449D5"/>
    <w:rsid w:val="00F453B2"/>
    <w:rsid w:val="00F461AA"/>
    <w:rsid w:val="00F46592"/>
    <w:rsid w:val="00F46E66"/>
    <w:rsid w:val="00F4799E"/>
    <w:rsid w:val="00F47EF6"/>
    <w:rsid w:val="00F517C2"/>
    <w:rsid w:val="00F51B48"/>
    <w:rsid w:val="00F533E3"/>
    <w:rsid w:val="00F53C9C"/>
    <w:rsid w:val="00F53D45"/>
    <w:rsid w:val="00F560A6"/>
    <w:rsid w:val="00F56259"/>
    <w:rsid w:val="00F56519"/>
    <w:rsid w:val="00F5729A"/>
    <w:rsid w:val="00F625EF"/>
    <w:rsid w:val="00F62F6F"/>
    <w:rsid w:val="00F6386B"/>
    <w:rsid w:val="00F63E3E"/>
    <w:rsid w:val="00F64589"/>
    <w:rsid w:val="00F6462E"/>
    <w:rsid w:val="00F646B4"/>
    <w:rsid w:val="00F647EE"/>
    <w:rsid w:val="00F648E1"/>
    <w:rsid w:val="00F659F0"/>
    <w:rsid w:val="00F661BF"/>
    <w:rsid w:val="00F66F99"/>
    <w:rsid w:val="00F67B5F"/>
    <w:rsid w:val="00F70174"/>
    <w:rsid w:val="00F70696"/>
    <w:rsid w:val="00F70C1A"/>
    <w:rsid w:val="00F70CA2"/>
    <w:rsid w:val="00F712D3"/>
    <w:rsid w:val="00F71480"/>
    <w:rsid w:val="00F717B8"/>
    <w:rsid w:val="00F722F7"/>
    <w:rsid w:val="00F7283E"/>
    <w:rsid w:val="00F729AB"/>
    <w:rsid w:val="00F72C51"/>
    <w:rsid w:val="00F72EDC"/>
    <w:rsid w:val="00F739C9"/>
    <w:rsid w:val="00F7508E"/>
    <w:rsid w:val="00F76D64"/>
    <w:rsid w:val="00F76EA3"/>
    <w:rsid w:val="00F77A64"/>
    <w:rsid w:val="00F8044D"/>
    <w:rsid w:val="00F812C4"/>
    <w:rsid w:val="00F82132"/>
    <w:rsid w:val="00F82979"/>
    <w:rsid w:val="00F82E98"/>
    <w:rsid w:val="00F83681"/>
    <w:rsid w:val="00F83BF5"/>
    <w:rsid w:val="00F84BD5"/>
    <w:rsid w:val="00F84E5B"/>
    <w:rsid w:val="00F858DC"/>
    <w:rsid w:val="00F85CDA"/>
    <w:rsid w:val="00F85F3E"/>
    <w:rsid w:val="00F86370"/>
    <w:rsid w:val="00F86BE9"/>
    <w:rsid w:val="00F87425"/>
    <w:rsid w:val="00F874D7"/>
    <w:rsid w:val="00F876CE"/>
    <w:rsid w:val="00F90D6A"/>
    <w:rsid w:val="00F91CEE"/>
    <w:rsid w:val="00F92E31"/>
    <w:rsid w:val="00F92FDE"/>
    <w:rsid w:val="00F95911"/>
    <w:rsid w:val="00F96030"/>
    <w:rsid w:val="00F96DA6"/>
    <w:rsid w:val="00F96F4A"/>
    <w:rsid w:val="00FA01CF"/>
    <w:rsid w:val="00FA0A0F"/>
    <w:rsid w:val="00FA136C"/>
    <w:rsid w:val="00FA1800"/>
    <w:rsid w:val="00FA19E8"/>
    <w:rsid w:val="00FA1EE0"/>
    <w:rsid w:val="00FA24D6"/>
    <w:rsid w:val="00FA2557"/>
    <w:rsid w:val="00FA2D77"/>
    <w:rsid w:val="00FA3EC6"/>
    <w:rsid w:val="00FA4242"/>
    <w:rsid w:val="00FA4283"/>
    <w:rsid w:val="00FA50CB"/>
    <w:rsid w:val="00FA532D"/>
    <w:rsid w:val="00FA54D6"/>
    <w:rsid w:val="00FA5DA5"/>
    <w:rsid w:val="00FA6242"/>
    <w:rsid w:val="00FA63F6"/>
    <w:rsid w:val="00FA665F"/>
    <w:rsid w:val="00FB1012"/>
    <w:rsid w:val="00FB155A"/>
    <w:rsid w:val="00FB17D1"/>
    <w:rsid w:val="00FB3A83"/>
    <w:rsid w:val="00FB40C5"/>
    <w:rsid w:val="00FB4430"/>
    <w:rsid w:val="00FB44A4"/>
    <w:rsid w:val="00FB5748"/>
    <w:rsid w:val="00FB5DA9"/>
    <w:rsid w:val="00FB6D91"/>
    <w:rsid w:val="00FC034A"/>
    <w:rsid w:val="00FC0F8E"/>
    <w:rsid w:val="00FC1867"/>
    <w:rsid w:val="00FC1976"/>
    <w:rsid w:val="00FC1A69"/>
    <w:rsid w:val="00FC303F"/>
    <w:rsid w:val="00FC31D0"/>
    <w:rsid w:val="00FC490B"/>
    <w:rsid w:val="00FC4BBE"/>
    <w:rsid w:val="00FC4C12"/>
    <w:rsid w:val="00FC506C"/>
    <w:rsid w:val="00FC5953"/>
    <w:rsid w:val="00FC77B1"/>
    <w:rsid w:val="00FC780D"/>
    <w:rsid w:val="00FD0D5A"/>
    <w:rsid w:val="00FD173C"/>
    <w:rsid w:val="00FD1A57"/>
    <w:rsid w:val="00FD200A"/>
    <w:rsid w:val="00FD2B51"/>
    <w:rsid w:val="00FD46D8"/>
    <w:rsid w:val="00FD57F2"/>
    <w:rsid w:val="00FD6021"/>
    <w:rsid w:val="00FD72C0"/>
    <w:rsid w:val="00FD7540"/>
    <w:rsid w:val="00FD7683"/>
    <w:rsid w:val="00FD79FB"/>
    <w:rsid w:val="00FE11CF"/>
    <w:rsid w:val="00FE13CD"/>
    <w:rsid w:val="00FE18AC"/>
    <w:rsid w:val="00FE218F"/>
    <w:rsid w:val="00FE21EF"/>
    <w:rsid w:val="00FE26CC"/>
    <w:rsid w:val="00FE27A5"/>
    <w:rsid w:val="00FE2C5B"/>
    <w:rsid w:val="00FE40AC"/>
    <w:rsid w:val="00FE47FE"/>
    <w:rsid w:val="00FE49CA"/>
    <w:rsid w:val="00FE4BE7"/>
    <w:rsid w:val="00FE4CD6"/>
    <w:rsid w:val="00FE5030"/>
    <w:rsid w:val="00FE54D7"/>
    <w:rsid w:val="00FE5980"/>
    <w:rsid w:val="00FE6800"/>
    <w:rsid w:val="00FE6BCA"/>
    <w:rsid w:val="00FE6D17"/>
    <w:rsid w:val="00FE71E0"/>
    <w:rsid w:val="00FE7C73"/>
    <w:rsid w:val="00FE7ED9"/>
    <w:rsid w:val="00FE7F00"/>
    <w:rsid w:val="00FF26A3"/>
    <w:rsid w:val="00FF3522"/>
    <w:rsid w:val="00FF37BA"/>
    <w:rsid w:val="00FF3D91"/>
    <w:rsid w:val="00FF3EA2"/>
    <w:rsid w:val="00FF4F1C"/>
    <w:rsid w:val="00FF52AA"/>
    <w:rsid w:val="00FF6CE2"/>
    <w:rsid w:val="00FF70AA"/>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461F5B"/>
  <w15:chartTrackingRefBased/>
  <w15:docId w15:val="{E177096E-7B3D-4DD5-8B37-4213C7E6F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N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093C"/>
  </w:style>
  <w:style w:type="paragraph" w:styleId="Ttulo1">
    <w:name w:val="heading 1"/>
    <w:basedOn w:val="Normal"/>
    <w:next w:val="Normal"/>
    <w:link w:val="Ttulo1Car"/>
    <w:uiPriority w:val="9"/>
    <w:qFormat/>
    <w:rsid w:val="00710C2C"/>
    <w:pPr>
      <w:keepNext/>
      <w:keepLines/>
      <w:spacing w:before="240" w:after="0"/>
      <w:outlineLvl w:val="0"/>
    </w:pPr>
    <w:rPr>
      <w:rFonts w:ascii="Futura Lt BT" w:eastAsiaTheme="majorEastAsia" w:hAnsi="Futura Lt BT" w:cstheme="majorBidi"/>
      <w:b/>
      <w:color w:val="004B85"/>
      <w:sz w:val="36"/>
      <w:szCs w:val="32"/>
    </w:rPr>
  </w:style>
  <w:style w:type="paragraph" w:styleId="Ttulo2">
    <w:name w:val="heading 2"/>
    <w:basedOn w:val="Normal"/>
    <w:next w:val="Normal"/>
    <w:link w:val="Ttulo2Car"/>
    <w:uiPriority w:val="9"/>
    <w:unhideWhenUsed/>
    <w:qFormat/>
    <w:rsid w:val="00FB44A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DF05D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Biblio,Articulo,List Paragraph 1,Lista vistosa - Énfasis 11,Párrafo de lista1,List Paragraph (numbered (a)),Bullets,Celula,References,List Bullet Mary,Paragraph,Fundamentacion,Listes,Paragraphe de liste1,Liste à puce - SC"/>
    <w:basedOn w:val="Normal"/>
    <w:link w:val="PrrafodelistaCar"/>
    <w:uiPriority w:val="34"/>
    <w:qFormat/>
    <w:rsid w:val="00535192"/>
    <w:pPr>
      <w:spacing w:after="0" w:line="240" w:lineRule="auto"/>
      <w:ind w:left="720"/>
      <w:contextualSpacing/>
      <w:jc w:val="both"/>
    </w:pPr>
    <w:rPr>
      <w:rFonts w:ascii="Futura Lt BT" w:hAnsi="Futura Lt BT"/>
    </w:rPr>
  </w:style>
  <w:style w:type="character" w:customStyle="1" w:styleId="PrrafodelistaCar">
    <w:name w:val="Párrafo de lista Car"/>
    <w:aliases w:val="Biblio Car,Articulo Car,List Paragraph 1 Car,Lista vistosa - Énfasis 11 Car,Párrafo de lista1 Car,List Paragraph (numbered (a)) Car,Bullets Car,Celula Car,References Car,List Bullet Mary Car,Paragraph Car,Fundamentacion Car"/>
    <w:link w:val="Prrafodelista"/>
    <w:uiPriority w:val="34"/>
    <w:qFormat/>
    <w:locked/>
    <w:rsid w:val="00535192"/>
    <w:rPr>
      <w:rFonts w:ascii="Futura Lt BT" w:hAnsi="Futura Lt BT"/>
    </w:rPr>
  </w:style>
  <w:style w:type="character" w:styleId="Refdenotaalpie">
    <w:name w:val="footnote reference"/>
    <w:basedOn w:val="Fuentedeprrafopredeter"/>
    <w:uiPriority w:val="99"/>
    <w:unhideWhenUsed/>
    <w:qFormat/>
    <w:rsid w:val="00535192"/>
    <w:rPr>
      <w:vertAlign w:val="superscript"/>
    </w:rPr>
  </w:style>
  <w:style w:type="paragraph" w:styleId="Sinespaciado">
    <w:name w:val="No Spacing"/>
    <w:link w:val="SinespaciadoCar"/>
    <w:uiPriority w:val="1"/>
    <w:qFormat/>
    <w:rsid w:val="003175C4"/>
    <w:pPr>
      <w:spacing w:after="0" w:line="240" w:lineRule="auto"/>
    </w:pPr>
    <w:rPr>
      <w:rFonts w:eastAsiaTheme="minorEastAsia"/>
      <w:lang w:eastAsia="es-NI"/>
    </w:rPr>
  </w:style>
  <w:style w:type="character" w:customStyle="1" w:styleId="SinespaciadoCar">
    <w:name w:val="Sin espaciado Car"/>
    <w:basedOn w:val="Fuentedeprrafopredeter"/>
    <w:link w:val="Sinespaciado"/>
    <w:uiPriority w:val="1"/>
    <w:rsid w:val="003175C4"/>
    <w:rPr>
      <w:rFonts w:eastAsiaTheme="minorEastAsia"/>
      <w:lang w:eastAsia="es-NI"/>
    </w:rPr>
  </w:style>
  <w:style w:type="paragraph" w:styleId="Textonotapie">
    <w:name w:val="footnote text"/>
    <w:aliases w:val="single space,footnote text,fn,Footnote Text Char Car Car Car Car Car Car Car Car Car Car Car Car Car Car Car Car Car Car Car Car Car Car Car Car Car Car Car Car Car Car Car Car Car Car Car Car Car Car Car Car,Footnote Text Char,Char"/>
    <w:basedOn w:val="Normal"/>
    <w:link w:val="TextonotapieCar"/>
    <w:uiPriority w:val="99"/>
    <w:unhideWhenUsed/>
    <w:qFormat/>
    <w:rsid w:val="00103209"/>
    <w:pPr>
      <w:spacing w:after="0" w:line="240" w:lineRule="auto"/>
    </w:pPr>
    <w:rPr>
      <w:rFonts w:eastAsiaTheme="minorEastAsia"/>
      <w:sz w:val="20"/>
      <w:szCs w:val="20"/>
      <w:lang w:eastAsia="es-NI"/>
    </w:rPr>
  </w:style>
  <w:style w:type="character" w:customStyle="1" w:styleId="TextonotapieCar">
    <w:name w:val="Texto nota pie Car"/>
    <w:aliases w:val="single space Car,footnote text Car,fn Car,Footnote Text Char Car Car Car Car Car Car Car Car Car Car Car Car Car Car Car Car Car Car Car Car Car Car Car Car Car Car Car Car Car Car Car Car Car Car Car Car Car Car Car Car Car,Char Car"/>
    <w:basedOn w:val="Fuentedeprrafopredeter"/>
    <w:link w:val="Textonotapie"/>
    <w:uiPriority w:val="99"/>
    <w:qFormat/>
    <w:rsid w:val="00103209"/>
    <w:rPr>
      <w:rFonts w:eastAsiaTheme="minorEastAsia"/>
      <w:sz w:val="20"/>
      <w:szCs w:val="20"/>
      <w:lang w:eastAsia="es-NI"/>
    </w:rPr>
  </w:style>
  <w:style w:type="table" w:styleId="Tablaconcuadrcula">
    <w:name w:val="Table Grid"/>
    <w:basedOn w:val="Tablanormal"/>
    <w:uiPriority w:val="39"/>
    <w:rsid w:val="00103209"/>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ar">
    <w:name w:val="Título 1 Car"/>
    <w:basedOn w:val="Fuentedeprrafopredeter"/>
    <w:link w:val="Ttulo1"/>
    <w:uiPriority w:val="9"/>
    <w:rsid w:val="00710C2C"/>
    <w:rPr>
      <w:rFonts w:ascii="Futura Lt BT" w:eastAsiaTheme="majorEastAsia" w:hAnsi="Futura Lt BT" w:cstheme="majorBidi"/>
      <w:b/>
      <w:color w:val="004B85"/>
      <w:sz w:val="36"/>
      <w:szCs w:val="32"/>
    </w:rPr>
  </w:style>
  <w:style w:type="table" w:customStyle="1" w:styleId="Tablaconcuadrcula2">
    <w:name w:val="Tabla con cuadrícula2"/>
    <w:basedOn w:val="Tablanormal"/>
    <w:next w:val="Tablaconcuadrcula"/>
    <w:uiPriority w:val="39"/>
    <w:rsid w:val="00F2443C"/>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unhideWhenUsed/>
    <w:rsid w:val="00C865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65C6"/>
  </w:style>
  <w:style w:type="paragraph" w:styleId="Piedepgina">
    <w:name w:val="footer"/>
    <w:basedOn w:val="Normal"/>
    <w:link w:val="PiedepginaCar"/>
    <w:uiPriority w:val="99"/>
    <w:unhideWhenUsed/>
    <w:rsid w:val="00C865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65C6"/>
  </w:style>
  <w:style w:type="paragraph" w:styleId="TtuloTDC">
    <w:name w:val="TOC Heading"/>
    <w:basedOn w:val="Ttulo1"/>
    <w:next w:val="Normal"/>
    <w:uiPriority w:val="39"/>
    <w:unhideWhenUsed/>
    <w:qFormat/>
    <w:rsid w:val="00184838"/>
    <w:pPr>
      <w:outlineLvl w:val="9"/>
    </w:pPr>
    <w:rPr>
      <w:lang w:eastAsia="es-NI"/>
    </w:rPr>
  </w:style>
  <w:style w:type="paragraph" w:styleId="TDC1">
    <w:name w:val="toc 1"/>
    <w:basedOn w:val="Normal"/>
    <w:next w:val="Normal"/>
    <w:autoRedefine/>
    <w:uiPriority w:val="39"/>
    <w:unhideWhenUsed/>
    <w:rsid w:val="00C757E0"/>
    <w:pPr>
      <w:tabs>
        <w:tab w:val="left" w:pos="660"/>
        <w:tab w:val="right" w:leader="dot" w:pos="9350"/>
      </w:tabs>
      <w:spacing w:after="220"/>
    </w:pPr>
    <w:rPr>
      <w:rFonts w:ascii="Futura Lt BT" w:hAnsi="Futura Lt BT"/>
      <w:b/>
      <w:noProof/>
      <w:color w:val="004B85"/>
      <w:sz w:val="28"/>
      <w:lang w:val="es-MX"/>
    </w:rPr>
  </w:style>
  <w:style w:type="character" w:styleId="Hipervnculo">
    <w:name w:val="Hyperlink"/>
    <w:basedOn w:val="Fuentedeprrafopredeter"/>
    <w:uiPriority w:val="99"/>
    <w:unhideWhenUsed/>
    <w:rsid w:val="00184838"/>
    <w:rPr>
      <w:color w:val="0563C1" w:themeColor="hyperlink"/>
      <w:u w:val="single"/>
    </w:rPr>
  </w:style>
  <w:style w:type="table" w:customStyle="1" w:styleId="Tablaconcuadrcula5">
    <w:name w:val="Tabla con cuadrícula5"/>
    <w:basedOn w:val="Tablanormal"/>
    <w:next w:val="Tablaconcuadrcula"/>
    <w:uiPriority w:val="39"/>
    <w:rsid w:val="005F127E"/>
    <w:pPr>
      <w:spacing w:after="0" w:line="240" w:lineRule="auto"/>
    </w:pPr>
    <w:rPr>
      <w:rFonts w:eastAsia="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efdecomentario">
    <w:name w:val="annotation reference"/>
    <w:basedOn w:val="Fuentedeprrafopredeter"/>
    <w:uiPriority w:val="99"/>
    <w:semiHidden/>
    <w:unhideWhenUsed/>
    <w:rsid w:val="00506A1D"/>
    <w:rPr>
      <w:sz w:val="16"/>
      <w:szCs w:val="16"/>
    </w:rPr>
  </w:style>
  <w:style w:type="paragraph" w:styleId="Textocomentario">
    <w:name w:val="annotation text"/>
    <w:basedOn w:val="Normal"/>
    <w:link w:val="TextocomentarioCar"/>
    <w:uiPriority w:val="99"/>
    <w:unhideWhenUsed/>
    <w:rsid w:val="00506A1D"/>
    <w:pPr>
      <w:spacing w:line="240" w:lineRule="auto"/>
    </w:pPr>
    <w:rPr>
      <w:sz w:val="20"/>
      <w:szCs w:val="20"/>
    </w:rPr>
  </w:style>
  <w:style w:type="character" w:customStyle="1" w:styleId="TextocomentarioCar">
    <w:name w:val="Texto comentario Car"/>
    <w:basedOn w:val="Fuentedeprrafopredeter"/>
    <w:link w:val="Textocomentario"/>
    <w:uiPriority w:val="99"/>
    <w:rsid w:val="00506A1D"/>
    <w:rPr>
      <w:sz w:val="20"/>
      <w:szCs w:val="20"/>
    </w:rPr>
  </w:style>
  <w:style w:type="paragraph" w:styleId="Asuntodelcomentario">
    <w:name w:val="annotation subject"/>
    <w:basedOn w:val="Textocomentario"/>
    <w:next w:val="Textocomentario"/>
    <w:link w:val="AsuntodelcomentarioCar"/>
    <w:uiPriority w:val="99"/>
    <w:semiHidden/>
    <w:unhideWhenUsed/>
    <w:rsid w:val="00506A1D"/>
    <w:rPr>
      <w:b/>
      <w:bCs/>
    </w:rPr>
  </w:style>
  <w:style w:type="character" w:customStyle="1" w:styleId="AsuntodelcomentarioCar">
    <w:name w:val="Asunto del comentario Car"/>
    <w:basedOn w:val="TextocomentarioCar"/>
    <w:link w:val="Asuntodelcomentario"/>
    <w:uiPriority w:val="99"/>
    <w:semiHidden/>
    <w:rsid w:val="00506A1D"/>
    <w:rPr>
      <w:b/>
      <w:bCs/>
      <w:sz w:val="20"/>
      <w:szCs w:val="20"/>
    </w:rPr>
  </w:style>
  <w:style w:type="paragraph" w:styleId="Revisin">
    <w:name w:val="Revision"/>
    <w:hidden/>
    <w:uiPriority w:val="99"/>
    <w:semiHidden/>
    <w:rsid w:val="00506A1D"/>
    <w:pPr>
      <w:spacing w:after="0" w:line="240" w:lineRule="auto"/>
    </w:pPr>
  </w:style>
  <w:style w:type="paragraph" w:styleId="Textodeglobo">
    <w:name w:val="Balloon Text"/>
    <w:basedOn w:val="Normal"/>
    <w:link w:val="TextodegloboCar"/>
    <w:uiPriority w:val="99"/>
    <w:semiHidden/>
    <w:unhideWhenUsed/>
    <w:rsid w:val="00B05F8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05F89"/>
    <w:rPr>
      <w:rFonts w:ascii="Segoe UI" w:hAnsi="Segoe UI" w:cs="Segoe UI"/>
      <w:sz w:val="18"/>
      <w:szCs w:val="18"/>
    </w:rPr>
  </w:style>
  <w:style w:type="table" w:customStyle="1" w:styleId="Tablaconcuadrcula3">
    <w:name w:val="Tabla con cuadrícula3"/>
    <w:basedOn w:val="Tablanormal"/>
    <w:next w:val="Tablaconcuadrcula"/>
    <w:uiPriority w:val="39"/>
    <w:rsid w:val="00CB0551"/>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
    <w:name w:val="Tabla con cuadrícula1"/>
    <w:basedOn w:val="Tablanormal"/>
    <w:next w:val="Tablaconcuadrcula"/>
    <w:uiPriority w:val="39"/>
    <w:rsid w:val="000F15AF"/>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4">
    <w:name w:val="Tabla con cuadrícula4"/>
    <w:basedOn w:val="Tablanormal"/>
    <w:next w:val="Tablaconcuadrcula"/>
    <w:uiPriority w:val="39"/>
    <w:rsid w:val="00641495"/>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1">
    <w:name w:val="Tabla con cuadrícula31"/>
    <w:basedOn w:val="Tablanormal"/>
    <w:next w:val="Tablaconcuadrcula"/>
    <w:uiPriority w:val="39"/>
    <w:rsid w:val="00641495"/>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39"/>
    <w:rsid w:val="00641495"/>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41">
    <w:name w:val="Tabla con cuadrícula41"/>
    <w:basedOn w:val="Tablanormal"/>
    <w:next w:val="Tablaconcuadrcula"/>
    <w:uiPriority w:val="39"/>
    <w:rsid w:val="00067A6B"/>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11">
    <w:name w:val="Tabla con cuadrícula311"/>
    <w:basedOn w:val="Tablanormal"/>
    <w:next w:val="Tablaconcuadrcula"/>
    <w:uiPriority w:val="39"/>
    <w:rsid w:val="00067A6B"/>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notaalfinal">
    <w:name w:val="endnote text"/>
    <w:basedOn w:val="Normal"/>
    <w:link w:val="TextonotaalfinalCar"/>
    <w:uiPriority w:val="99"/>
    <w:semiHidden/>
    <w:unhideWhenUsed/>
    <w:rsid w:val="00C07E3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07E3C"/>
    <w:rPr>
      <w:sz w:val="20"/>
      <w:szCs w:val="20"/>
    </w:rPr>
  </w:style>
  <w:style w:type="character" w:styleId="Refdenotaalfinal">
    <w:name w:val="endnote reference"/>
    <w:basedOn w:val="Fuentedeprrafopredeter"/>
    <w:uiPriority w:val="99"/>
    <w:semiHidden/>
    <w:unhideWhenUsed/>
    <w:rsid w:val="00C07E3C"/>
    <w:rPr>
      <w:vertAlign w:val="superscript"/>
    </w:rPr>
  </w:style>
  <w:style w:type="character" w:customStyle="1" w:styleId="Ttulo2Car">
    <w:name w:val="Título 2 Car"/>
    <w:basedOn w:val="Fuentedeprrafopredeter"/>
    <w:link w:val="Ttulo2"/>
    <w:uiPriority w:val="9"/>
    <w:rsid w:val="00FB44A4"/>
    <w:rPr>
      <w:rFonts w:asciiTheme="majorHAnsi" w:eastAsiaTheme="majorEastAsia" w:hAnsiTheme="majorHAnsi" w:cstheme="majorBidi"/>
      <w:color w:val="2F5496" w:themeColor="accent1" w:themeShade="BF"/>
      <w:sz w:val="26"/>
      <w:szCs w:val="26"/>
    </w:rPr>
  </w:style>
  <w:style w:type="paragraph" w:styleId="TDC2">
    <w:name w:val="toc 2"/>
    <w:basedOn w:val="Normal"/>
    <w:next w:val="Normal"/>
    <w:autoRedefine/>
    <w:uiPriority w:val="39"/>
    <w:unhideWhenUsed/>
    <w:rsid w:val="002675E8"/>
    <w:pPr>
      <w:tabs>
        <w:tab w:val="left" w:pos="880"/>
        <w:tab w:val="right" w:leader="dot" w:pos="9350"/>
      </w:tabs>
      <w:spacing w:after="100"/>
      <w:ind w:left="220"/>
    </w:pPr>
    <w:rPr>
      <w:rFonts w:ascii="Futura Md BT" w:hAnsi="Futura Md BT"/>
      <w:noProof/>
      <w:color w:val="004B85"/>
      <w:sz w:val="24"/>
    </w:rPr>
  </w:style>
  <w:style w:type="paragraph" w:customStyle="1" w:styleId="Estilo2">
    <w:name w:val="Estilo2"/>
    <w:basedOn w:val="Ttulo1"/>
    <w:link w:val="Estilo2Car"/>
    <w:qFormat/>
    <w:rsid w:val="00413E56"/>
    <w:pPr>
      <w:keepLines w:val="0"/>
      <w:spacing w:before="0" w:line="240" w:lineRule="auto"/>
      <w:jc w:val="center"/>
    </w:pPr>
    <w:rPr>
      <w:rFonts w:ascii="Futura Md BT" w:eastAsia="MS Mincho" w:hAnsi="Futura Md BT" w:cs="Arial"/>
      <w:bCs/>
      <w:kern w:val="32"/>
      <w:sz w:val="28"/>
      <w:szCs w:val="28"/>
      <w:lang w:val="es-ES" w:eastAsia="es-ES"/>
    </w:rPr>
  </w:style>
  <w:style w:type="character" w:customStyle="1" w:styleId="Estilo2Car">
    <w:name w:val="Estilo2 Car"/>
    <w:basedOn w:val="Fuentedeprrafopredeter"/>
    <w:link w:val="Estilo2"/>
    <w:rsid w:val="00413E56"/>
    <w:rPr>
      <w:rFonts w:ascii="Futura Md BT" w:eastAsia="MS Mincho" w:hAnsi="Futura Md BT" w:cs="Arial"/>
      <w:b/>
      <w:bCs/>
      <w:color w:val="004B85"/>
      <w:kern w:val="32"/>
      <w:sz w:val="28"/>
      <w:szCs w:val="28"/>
      <w:lang w:val="es-ES" w:eastAsia="es-ES"/>
    </w:rPr>
  </w:style>
  <w:style w:type="paragraph" w:styleId="NormalWeb">
    <w:name w:val="Normal (Web)"/>
    <w:basedOn w:val="Normal"/>
    <w:uiPriority w:val="99"/>
    <w:unhideWhenUsed/>
    <w:rsid w:val="00E178F6"/>
    <w:pPr>
      <w:spacing w:before="100" w:beforeAutospacing="1" w:after="100" w:afterAutospacing="1" w:line="240" w:lineRule="auto"/>
    </w:pPr>
    <w:rPr>
      <w:rFonts w:ascii="Times New Roman" w:eastAsia="Times New Roman" w:hAnsi="Times New Roman" w:cs="Times New Roman"/>
      <w:sz w:val="24"/>
      <w:szCs w:val="24"/>
      <w:lang w:eastAsia="es-NI"/>
    </w:rPr>
  </w:style>
  <w:style w:type="character" w:customStyle="1" w:styleId="Ttulo4Car">
    <w:name w:val="Título 4 Car"/>
    <w:basedOn w:val="Fuentedeprrafopredeter"/>
    <w:link w:val="Ttulo4"/>
    <w:uiPriority w:val="9"/>
    <w:semiHidden/>
    <w:rsid w:val="00DF05D1"/>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93040">
      <w:bodyDiv w:val="1"/>
      <w:marLeft w:val="0"/>
      <w:marRight w:val="0"/>
      <w:marTop w:val="0"/>
      <w:marBottom w:val="0"/>
      <w:divBdr>
        <w:top w:val="none" w:sz="0" w:space="0" w:color="auto"/>
        <w:left w:val="none" w:sz="0" w:space="0" w:color="auto"/>
        <w:bottom w:val="none" w:sz="0" w:space="0" w:color="auto"/>
        <w:right w:val="none" w:sz="0" w:space="0" w:color="auto"/>
      </w:divBdr>
    </w:div>
    <w:div w:id="249850683">
      <w:bodyDiv w:val="1"/>
      <w:marLeft w:val="0"/>
      <w:marRight w:val="0"/>
      <w:marTop w:val="0"/>
      <w:marBottom w:val="0"/>
      <w:divBdr>
        <w:top w:val="none" w:sz="0" w:space="0" w:color="auto"/>
        <w:left w:val="none" w:sz="0" w:space="0" w:color="auto"/>
        <w:bottom w:val="none" w:sz="0" w:space="0" w:color="auto"/>
        <w:right w:val="none" w:sz="0" w:space="0" w:color="auto"/>
      </w:divBdr>
    </w:div>
    <w:div w:id="286161981">
      <w:bodyDiv w:val="1"/>
      <w:marLeft w:val="0"/>
      <w:marRight w:val="0"/>
      <w:marTop w:val="0"/>
      <w:marBottom w:val="0"/>
      <w:divBdr>
        <w:top w:val="none" w:sz="0" w:space="0" w:color="auto"/>
        <w:left w:val="none" w:sz="0" w:space="0" w:color="auto"/>
        <w:bottom w:val="none" w:sz="0" w:space="0" w:color="auto"/>
        <w:right w:val="none" w:sz="0" w:space="0" w:color="auto"/>
      </w:divBdr>
      <w:divsChild>
        <w:div w:id="1206873329">
          <w:marLeft w:val="450"/>
          <w:marRight w:val="0"/>
          <w:marTop w:val="0"/>
          <w:marBottom w:val="450"/>
          <w:divBdr>
            <w:top w:val="none" w:sz="0" w:space="0" w:color="auto"/>
            <w:left w:val="none" w:sz="0" w:space="0" w:color="auto"/>
            <w:bottom w:val="none" w:sz="0" w:space="0" w:color="auto"/>
            <w:right w:val="none" w:sz="0" w:space="0" w:color="auto"/>
          </w:divBdr>
        </w:div>
      </w:divsChild>
    </w:div>
    <w:div w:id="329455530">
      <w:bodyDiv w:val="1"/>
      <w:marLeft w:val="0"/>
      <w:marRight w:val="0"/>
      <w:marTop w:val="0"/>
      <w:marBottom w:val="0"/>
      <w:divBdr>
        <w:top w:val="none" w:sz="0" w:space="0" w:color="auto"/>
        <w:left w:val="none" w:sz="0" w:space="0" w:color="auto"/>
        <w:bottom w:val="none" w:sz="0" w:space="0" w:color="auto"/>
        <w:right w:val="none" w:sz="0" w:space="0" w:color="auto"/>
      </w:divBdr>
    </w:div>
    <w:div w:id="472261332">
      <w:bodyDiv w:val="1"/>
      <w:marLeft w:val="0"/>
      <w:marRight w:val="0"/>
      <w:marTop w:val="0"/>
      <w:marBottom w:val="0"/>
      <w:divBdr>
        <w:top w:val="none" w:sz="0" w:space="0" w:color="auto"/>
        <w:left w:val="none" w:sz="0" w:space="0" w:color="auto"/>
        <w:bottom w:val="none" w:sz="0" w:space="0" w:color="auto"/>
        <w:right w:val="none" w:sz="0" w:space="0" w:color="auto"/>
      </w:divBdr>
    </w:div>
    <w:div w:id="807553944">
      <w:bodyDiv w:val="1"/>
      <w:marLeft w:val="0"/>
      <w:marRight w:val="0"/>
      <w:marTop w:val="0"/>
      <w:marBottom w:val="0"/>
      <w:divBdr>
        <w:top w:val="none" w:sz="0" w:space="0" w:color="auto"/>
        <w:left w:val="none" w:sz="0" w:space="0" w:color="auto"/>
        <w:bottom w:val="none" w:sz="0" w:space="0" w:color="auto"/>
        <w:right w:val="none" w:sz="0" w:space="0" w:color="auto"/>
      </w:divBdr>
    </w:div>
    <w:div w:id="1510484379">
      <w:bodyDiv w:val="1"/>
      <w:marLeft w:val="0"/>
      <w:marRight w:val="0"/>
      <w:marTop w:val="0"/>
      <w:marBottom w:val="0"/>
      <w:divBdr>
        <w:top w:val="none" w:sz="0" w:space="0" w:color="auto"/>
        <w:left w:val="none" w:sz="0" w:space="0" w:color="auto"/>
        <w:bottom w:val="none" w:sz="0" w:space="0" w:color="auto"/>
        <w:right w:val="none" w:sz="0" w:space="0" w:color="auto"/>
      </w:divBdr>
    </w:div>
    <w:div w:id="1555385844">
      <w:bodyDiv w:val="1"/>
      <w:marLeft w:val="0"/>
      <w:marRight w:val="0"/>
      <w:marTop w:val="0"/>
      <w:marBottom w:val="0"/>
      <w:divBdr>
        <w:top w:val="none" w:sz="0" w:space="0" w:color="auto"/>
        <w:left w:val="none" w:sz="0" w:space="0" w:color="auto"/>
        <w:bottom w:val="none" w:sz="0" w:space="0" w:color="auto"/>
        <w:right w:val="none" w:sz="0" w:space="0" w:color="auto"/>
      </w:divBdr>
    </w:div>
    <w:div w:id="1817263421">
      <w:bodyDiv w:val="1"/>
      <w:marLeft w:val="0"/>
      <w:marRight w:val="0"/>
      <w:marTop w:val="0"/>
      <w:marBottom w:val="0"/>
      <w:divBdr>
        <w:top w:val="none" w:sz="0" w:space="0" w:color="auto"/>
        <w:left w:val="none" w:sz="0" w:space="0" w:color="auto"/>
        <w:bottom w:val="none" w:sz="0" w:space="0" w:color="auto"/>
        <w:right w:val="none" w:sz="0" w:space="0" w:color="auto"/>
      </w:divBdr>
    </w:div>
    <w:div w:id="1967614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8B787A44C5AF44CA030380526D12F07" ma:contentTypeVersion="5" ma:contentTypeDescription="Crear nuevo documento." ma:contentTypeScope="" ma:versionID="11384a7214f2470e533f0ed120731874">
  <xsd:schema xmlns:xsd="http://www.w3.org/2001/XMLSchema" xmlns:xs="http://www.w3.org/2001/XMLSchema" xmlns:p="http://schemas.microsoft.com/office/2006/metadata/properties" xmlns:ns3="2e3b0482-7a57-497d-8214-529569af502f" xmlns:ns4="001a7f66-96d5-4df0-9a3c-07a4bd8963ae" targetNamespace="http://schemas.microsoft.com/office/2006/metadata/properties" ma:root="true" ma:fieldsID="a6b0786d4caafd0a7ae59816ce71aedf" ns3:_="" ns4:_="">
    <xsd:import namespace="2e3b0482-7a57-497d-8214-529569af502f"/>
    <xsd:import namespace="001a7f66-96d5-4df0-9a3c-07a4bd8963a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3b0482-7a57-497d-8214-529569af50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1a7f66-96d5-4df0-9a3c-07a4bd8963ae"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05501-CD21-47E2-A97F-5F63C57442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3b0482-7a57-497d-8214-529569af502f"/>
    <ds:schemaRef ds:uri="001a7f66-96d5-4df0-9a3c-07a4bd8963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E2DE42-EE1B-48AE-97EA-1854F932DB6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4B83B71-078C-4536-93DD-9757048ADCCA}">
  <ds:schemaRefs>
    <ds:schemaRef ds:uri="http://schemas.microsoft.com/sharepoint/v3/contenttype/forms"/>
  </ds:schemaRefs>
</ds:datastoreItem>
</file>

<file path=customXml/itemProps4.xml><?xml version="1.0" encoding="utf-8"?>
<ds:datastoreItem xmlns:ds="http://schemas.openxmlformats.org/officeDocument/2006/customXml" ds:itemID="{E834BF45-4E6E-4F61-A359-ED440BEEE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1777</Words>
  <Characters>9779</Characters>
  <Application>Microsoft Office Word</Application>
  <DocSecurity>0</DocSecurity>
  <Lines>81</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Ovidio Reyes</dc:creator>
  <cp:keywords/>
  <dc:description/>
  <cp:lastModifiedBy>Conrado Cabrera, Nina María</cp:lastModifiedBy>
  <cp:revision>6</cp:revision>
  <cp:lastPrinted>2023-10-05T20:48:00Z</cp:lastPrinted>
  <dcterms:created xsi:type="dcterms:W3CDTF">2024-10-18T16:08:00Z</dcterms:created>
  <dcterms:modified xsi:type="dcterms:W3CDTF">2024-10-18T16:17:00Z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0x010100F8B787A44C5AF44CA030380526D12F07</vt:lpwstr>
  </property>
</Properties>
</file>